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228EE" w14:textId="77777777" w:rsidR="00E07A7F" w:rsidRDefault="00E07A7F">
      <w:pPr>
        <w:pStyle w:val="Corpsdetexte"/>
        <w:rPr>
          <w:sz w:val="20"/>
        </w:rPr>
      </w:pPr>
    </w:p>
    <w:p w14:paraId="2F690B7A" w14:textId="77777777" w:rsidR="00E07A7F" w:rsidRDefault="00E07A7F">
      <w:pPr>
        <w:pStyle w:val="Corpsdetexte"/>
        <w:spacing w:before="28"/>
        <w:rPr>
          <w:sz w:val="20"/>
        </w:rPr>
      </w:pPr>
    </w:p>
    <w:p w14:paraId="6BEA1911" w14:textId="77777777" w:rsidR="00E07A7F" w:rsidRDefault="00E07A7F">
      <w:pPr>
        <w:pStyle w:val="Corpsdetexte"/>
        <w:rPr>
          <w:sz w:val="20"/>
        </w:rPr>
        <w:sectPr w:rsidR="00E07A7F">
          <w:footerReference w:type="default" r:id="rId6"/>
          <w:type w:val="continuous"/>
          <w:pgSz w:w="11910" w:h="16840"/>
          <w:pgMar w:top="1920" w:right="1133" w:bottom="540" w:left="1275" w:header="0" w:footer="347" w:gutter="0"/>
          <w:pgNumType w:start="1"/>
          <w:cols w:space="720"/>
        </w:sectPr>
      </w:pPr>
    </w:p>
    <w:p w14:paraId="0ED08189" w14:textId="77777777" w:rsidR="00E07A7F" w:rsidRDefault="00E07A7F">
      <w:pPr>
        <w:pStyle w:val="Corpsdetexte"/>
      </w:pPr>
    </w:p>
    <w:p w14:paraId="70062F05" w14:textId="77777777" w:rsidR="00E07A7F" w:rsidRDefault="00E07A7F">
      <w:pPr>
        <w:pStyle w:val="Corpsdetexte"/>
      </w:pPr>
    </w:p>
    <w:p w14:paraId="3846D33F" w14:textId="77777777" w:rsidR="00E07A7F" w:rsidRDefault="00E07A7F">
      <w:pPr>
        <w:pStyle w:val="Corpsdetexte"/>
      </w:pPr>
    </w:p>
    <w:p w14:paraId="1022D841" w14:textId="77777777" w:rsidR="00E07A7F" w:rsidRDefault="00E07A7F">
      <w:pPr>
        <w:pStyle w:val="Corpsdetexte"/>
      </w:pPr>
    </w:p>
    <w:p w14:paraId="23CEEA37" w14:textId="77777777" w:rsidR="00E07A7F" w:rsidRDefault="00E07A7F">
      <w:pPr>
        <w:pStyle w:val="Corpsdetexte"/>
      </w:pPr>
    </w:p>
    <w:p w14:paraId="53FC0716" w14:textId="77777777" w:rsidR="00E07A7F" w:rsidRDefault="00E07A7F">
      <w:pPr>
        <w:pStyle w:val="Corpsdetexte"/>
      </w:pPr>
    </w:p>
    <w:p w14:paraId="06A8BF4C" w14:textId="77777777" w:rsidR="00E07A7F" w:rsidRDefault="00E07A7F">
      <w:pPr>
        <w:pStyle w:val="Corpsdetexte"/>
      </w:pPr>
    </w:p>
    <w:p w14:paraId="12BF7418" w14:textId="77777777" w:rsidR="00E07A7F" w:rsidRDefault="00E07A7F">
      <w:pPr>
        <w:pStyle w:val="Corpsdetexte"/>
        <w:spacing w:before="39"/>
      </w:pPr>
    </w:p>
    <w:p w14:paraId="55D57A02" w14:textId="77777777" w:rsidR="00E07A7F" w:rsidRDefault="00000000">
      <w:pPr>
        <w:ind w:right="38"/>
        <w:jc w:val="right"/>
        <w:rPr>
          <w:rFonts w:ascii="Cambria" w:hAnsi="Cambria"/>
          <w:b/>
        </w:rPr>
      </w:pPr>
      <w:r>
        <w:rPr>
          <w:rFonts w:ascii="Cambria" w:hAnsi="Cambria"/>
          <w:b/>
          <w:noProof/>
        </w:rPr>
        <w:drawing>
          <wp:anchor distT="0" distB="0" distL="0" distR="0" simplePos="0" relativeHeight="15728640" behindDoc="0" locked="0" layoutInCell="1" allowOverlap="1" wp14:anchorId="0463ED7E" wp14:editId="089AAC3B">
            <wp:simplePos x="0" y="0"/>
            <wp:positionH relativeFrom="page">
              <wp:posOffset>1171195</wp:posOffset>
            </wp:positionH>
            <wp:positionV relativeFrom="paragraph">
              <wp:posOffset>-1461284</wp:posOffset>
            </wp:positionV>
            <wp:extent cx="2192571" cy="84052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92571" cy="840528"/>
                    </a:xfrm>
                    <a:prstGeom prst="rect">
                      <a:avLst/>
                    </a:prstGeom>
                  </pic:spPr>
                </pic:pic>
              </a:graphicData>
            </a:graphic>
          </wp:anchor>
        </w:drawing>
      </w:r>
      <w:r>
        <w:rPr>
          <w:rFonts w:ascii="Cambria" w:hAnsi="Cambria"/>
          <w:b/>
          <w:spacing w:val="-2"/>
          <w:w w:val="105"/>
        </w:rPr>
        <w:t>DÉCISION</w:t>
      </w:r>
    </w:p>
    <w:p w14:paraId="79B68EE4" w14:textId="77777777" w:rsidR="00E07A7F" w:rsidRDefault="00000000">
      <w:pPr>
        <w:spacing w:before="119" w:line="451" w:lineRule="auto"/>
        <w:ind w:left="569" w:right="136" w:firstLine="14"/>
        <w:rPr>
          <w:rFonts w:ascii="Cambria"/>
          <w:b/>
        </w:rPr>
      </w:pPr>
      <w:r>
        <w:br w:type="column"/>
      </w:r>
      <w:r>
        <w:rPr>
          <w:rFonts w:ascii="Cambria"/>
          <w:b/>
          <w:spacing w:val="-6"/>
        </w:rPr>
        <w:t>OP</w:t>
      </w:r>
      <w:r>
        <w:rPr>
          <w:rFonts w:ascii="Cambria"/>
          <w:b/>
          <w:spacing w:val="-7"/>
        </w:rPr>
        <w:t xml:space="preserve"> </w:t>
      </w:r>
      <w:r>
        <w:rPr>
          <w:rFonts w:ascii="Cambria"/>
          <w:b/>
          <w:spacing w:val="-6"/>
        </w:rPr>
        <w:t xml:space="preserve">23-4399 </w:t>
      </w:r>
      <w:r>
        <w:rPr>
          <w:rFonts w:ascii="Cambria"/>
          <w:b/>
          <w:spacing w:val="-2"/>
          <w:w w:val="90"/>
        </w:rPr>
        <w:t>21/05/2024</w:t>
      </w:r>
    </w:p>
    <w:p w14:paraId="6B94BDCE" w14:textId="77777777" w:rsidR="00E07A7F" w:rsidRDefault="00E07A7F">
      <w:pPr>
        <w:spacing w:line="451" w:lineRule="auto"/>
        <w:rPr>
          <w:rFonts w:ascii="Cambria"/>
          <w:b/>
        </w:rPr>
        <w:sectPr w:rsidR="00E07A7F">
          <w:type w:val="continuous"/>
          <w:pgSz w:w="11910" w:h="16840"/>
          <w:pgMar w:top="1920" w:right="1133" w:bottom="540" w:left="1275" w:header="0" w:footer="347" w:gutter="0"/>
          <w:cols w:num="2" w:space="720" w:equalWidth="0">
            <w:col w:w="5235" w:space="2391"/>
            <w:col w:w="1876"/>
          </w:cols>
        </w:sectPr>
      </w:pPr>
    </w:p>
    <w:p w14:paraId="44428724" w14:textId="77777777" w:rsidR="00E07A7F" w:rsidRDefault="00E07A7F">
      <w:pPr>
        <w:pStyle w:val="Corpsdetexte"/>
        <w:rPr>
          <w:rFonts w:ascii="Cambria"/>
          <w:b/>
        </w:rPr>
      </w:pPr>
    </w:p>
    <w:p w14:paraId="47473AEE" w14:textId="77777777" w:rsidR="00E07A7F" w:rsidRDefault="00E07A7F">
      <w:pPr>
        <w:pStyle w:val="Corpsdetexte"/>
        <w:spacing w:before="24"/>
        <w:rPr>
          <w:rFonts w:ascii="Cambria"/>
          <w:b/>
        </w:rPr>
      </w:pPr>
    </w:p>
    <w:p w14:paraId="12ACA7E9" w14:textId="77777777" w:rsidR="00E07A7F" w:rsidRDefault="00000000">
      <w:pPr>
        <w:ind w:right="137"/>
        <w:jc w:val="center"/>
        <w:rPr>
          <w:rFonts w:ascii="Cambria"/>
          <w:b/>
        </w:rPr>
      </w:pPr>
      <w:r>
        <w:rPr>
          <w:rFonts w:ascii="Cambria"/>
          <w:b/>
          <w:w w:val="105"/>
        </w:rPr>
        <w:t>STATUANT</w:t>
      </w:r>
      <w:r>
        <w:rPr>
          <w:rFonts w:ascii="Cambria"/>
          <w:b/>
          <w:spacing w:val="-11"/>
          <w:w w:val="105"/>
        </w:rPr>
        <w:t xml:space="preserve"> </w:t>
      </w:r>
      <w:r>
        <w:rPr>
          <w:rFonts w:ascii="Cambria"/>
          <w:b/>
          <w:w w:val="105"/>
        </w:rPr>
        <w:t>SUR</w:t>
      </w:r>
      <w:r>
        <w:rPr>
          <w:rFonts w:ascii="Cambria"/>
          <w:b/>
          <w:spacing w:val="-9"/>
          <w:w w:val="105"/>
        </w:rPr>
        <w:t xml:space="preserve"> </w:t>
      </w:r>
      <w:r>
        <w:rPr>
          <w:rFonts w:ascii="Cambria"/>
          <w:b/>
          <w:w w:val="105"/>
        </w:rPr>
        <w:t>UNE</w:t>
      </w:r>
      <w:r>
        <w:rPr>
          <w:rFonts w:ascii="Cambria"/>
          <w:b/>
          <w:spacing w:val="-9"/>
          <w:w w:val="105"/>
        </w:rPr>
        <w:t xml:space="preserve"> </w:t>
      </w:r>
      <w:r>
        <w:rPr>
          <w:rFonts w:ascii="Cambria"/>
          <w:b/>
          <w:spacing w:val="-2"/>
          <w:w w:val="105"/>
        </w:rPr>
        <w:t>OPPOSITION</w:t>
      </w:r>
    </w:p>
    <w:p w14:paraId="04B25B42" w14:textId="77777777" w:rsidR="00E07A7F" w:rsidRDefault="00E07A7F">
      <w:pPr>
        <w:pStyle w:val="Corpsdetexte"/>
        <w:rPr>
          <w:rFonts w:ascii="Cambria"/>
          <w:b/>
        </w:rPr>
      </w:pPr>
    </w:p>
    <w:p w14:paraId="49639CA3" w14:textId="77777777" w:rsidR="00E07A7F" w:rsidRDefault="00E07A7F">
      <w:pPr>
        <w:pStyle w:val="Corpsdetexte"/>
        <w:rPr>
          <w:rFonts w:ascii="Cambria"/>
          <w:b/>
        </w:rPr>
      </w:pPr>
    </w:p>
    <w:p w14:paraId="0D7CF2C2" w14:textId="77777777" w:rsidR="00E07A7F" w:rsidRDefault="00E07A7F">
      <w:pPr>
        <w:pStyle w:val="Corpsdetexte"/>
        <w:spacing w:before="64"/>
        <w:rPr>
          <w:rFonts w:ascii="Cambria"/>
          <w:b/>
        </w:rPr>
      </w:pPr>
    </w:p>
    <w:p w14:paraId="0D79B247" w14:textId="77777777" w:rsidR="00E07A7F" w:rsidRDefault="00000000">
      <w:pPr>
        <w:spacing w:before="1"/>
        <w:ind w:right="134"/>
        <w:jc w:val="center"/>
        <w:rPr>
          <w:rFonts w:ascii="Cambria"/>
          <w:b/>
        </w:rPr>
      </w:pPr>
      <w:r>
        <w:rPr>
          <w:rFonts w:ascii="Cambria"/>
          <w:b/>
          <w:spacing w:val="-4"/>
        </w:rPr>
        <w:t>****</w:t>
      </w:r>
    </w:p>
    <w:p w14:paraId="10B9114E" w14:textId="77777777" w:rsidR="00E07A7F" w:rsidRDefault="00E07A7F">
      <w:pPr>
        <w:pStyle w:val="Corpsdetexte"/>
        <w:rPr>
          <w:rFonts w:ascii="Cambria"/>
          <w:b/>
        </w:rPr>
      </w:pPr>
    </w:p>
    <w:p w14:paraId="26D9AA10" w14:textId="77777777" w:rsidR="00E07A7F" w:rsidRDefault="00E07A7F">
      <w:pPr>
        <w:pStyle w:val="Corpsdetexte"/>
        <w:rPr>
          <w:rFonts w:ascii="Cambria"/>
          <w:b/>
        </w:rPr>
      </w:pPr>
    </w:p>
    <w:p w14:paraId="075E01A8" w14:textId="77777777" w:rsidR="00E07A7F" w:rsidRDefault="00E07A7F">
      <w:pPr>
        <w:pStyle w:val="Corpsdetexte"/>
        <w:spacing w:before="214"/>
        <w:rPr>
          <w:rFonts w:ascii="Cambria"/>
          <w:b/>
        </w:rPr>
      </w:pPr>
    </w:p>
    <w:p w14:paraId="3C723557" w14:textId="77777777" w:rsidR="00E07A7F" w:rsidRDefault="00000000">
      <w:pPr>
        <w:pStyle w:val="Corpsdetexte"/>
        <w:spacing w:line="280" w:lineRule="auto"/>
        <w:ind w:left="2" w:right="146" w:firstLine="568"/>
        <w:jc w:val="both"/>
      </w:pPr>
      <w:r>
        <w:rPr>
          <w:rFonts w:ascii="Cambria" w:hAnsi="Cambria"/>
          <w:b/>
        </w:rPr>
        <w:t>Vu</w:t>
      </w:r>
      <w:r>
        <w:rPr>
          <w:rFonts w:ascii="Cambria" w:hAnsi="Cambria"/>
          <w:b/>
          <w:spacing w:val="33"/>
        </w:rPr>
        <w:t xml:space="preserve"> </w:t>
      </w:r>
      <w:r>
        <w:t>le</w:t>
      </w:r>
      <w:r>
        <w:rPr>
          <w:spacing w:val="26"/>
        </w:rPr>
        <w:t xml:space="preserve"> </w:t>
      </w:r>
      <w:r>
        <w:t>code</w:t>
      </w:r>
      <w:r>
        <w:rPr>
          <w:spacing w:val="26"/>
        </w:rPr>
        <w:t xml:space="preserve"> </w:t>
      </w:r>
      <w:r>
        <w:t>de</w:t>
      </w:r>
      <w:r>
        <w:rPr>
          <w:spacing w:val="28"/>
        </w:rPr>
        <w:t xml:space="preserve"> </w:t>
      </w:r>
      <w:r>
        <w:t>la</w:t>
      </w:r>
      <w:r>
        <w:rPr>
          <w:spacing w:val="28"/>
        </w:rPr>
        <w:t xml:space="preserve"> </w:t>
      </w:r>
      <w:r>
        <w:t>propriété</w:t>
      </w:r>
      <w:r>
        <w:rPr>
          <w:spacing w:val="26"/>
        </w:rPr>
        <w:t xml:space="preserve"> </w:t>
      </w:r>
      <w:r>
        <w:t>intellectuelle</w:t>
      </w:r>
      <w:r>
        <w:rPr>
          <w:spacing w:val="26"/>
        </w:rPr>
        <w:t xml:space="preserve"> </w:t>
      </w:r>
      <w:r>
        <w:t>et</w:t>
      </w:r>
      <w:r>
        <w:rPr>
          <w:spacing w:val="27"/>
        </w:rPr>
        <w:t xml:space="preserve"> </w:t>
      </w:r>
      <w:r>
        <w:t>notamment</w:t>
      </w:r>
      <w:r>
        <w:rPr>
          <w:spacing w:val="27"/>
        </w:rPr>
        <w:t xml:space="preserve"> </w:t>
      </w:r>
      <w:r>
        <w:t>ses</w:t>
      </w:r>
      <w:r>
        <w:rPr>
          <w:spacing w:val="26"/>
        </w:rPr>
        <w:t xml:space="preserve"> </w:t>
      </w:r>
      <w:r>
        <w:t>articles</w:t>
      </w:r>
      <w:r>
        <w:rPr>
          <w:spacing w:val="28"/>
        </w:rPr>
        <w:t xml:space="preserve"> </w:t>
      </w:r>
      <w:r>
        <w:t>L</w:t>
      </w:r>
      <w:r>
        <w:rPr>
          <w:spacing w:val="26"/>
        </w:rPr>
        <w:t xml:space="preserve"> </w:t>
      </w:r>
      <w:r>
        <w:t>411-4,</w:t>
      </w:r>
      <w:r>
        <w:rPr>
          <w:spacing w:val="27"/>
        </w:rPr>
        <w:t xml:space="preserve"> </w:t>
      </w:r>
      <w:r>
        <w:t>L</w:t>
      </w:r>
      <w:r>
        <w:rPr>
          <w:spacing w:val="28"/>
        </w:rPr>
        <w:t xml:space="preserve"> </w:t>
      </w:r>
      <w:r>
        <w:t>411-5,</w:t>
      </w:r>
      <w:r>
        <w:rPr>
          <w:spacing w:val="27"/>
        </w:rPr>
        <w:t xml:space="preserve"> </w:t>
      </w:r>
      <w:r>
        <w:t>L</w:t>
      </w:r>
      <w:r>
        <w:rPr>
          <w:spacing w:val="28"/>
        </w:rPr>
        <w:t xml:space="preserve"> </w:t>
      </w:r>
      <w:r>
        <w:t>712-3</w:t>
      </w:r>
      <w:r>
        <w:rPr>
          <w:spacing w:val="26"/>
        </w:rPr>
        <w:t xml:space="preserve"> </w:t>
      </w:r>
      <w:r>
        <w:t>à L</w:t>
      </w:r>
      <w:r>
        <w:rPr>
          <w:spacing w:val="3"/>
        </w:rPr>
        <w:t xml:space="preserve"> </w:t>
      </w:r>
      <w:r>
        <w:t>712-5-1,</w:t>
      </w:r>
      <w:r>
        <w:rPr>
          <w:spacing w:val="4"/>
        </w:rPr>
        <w:t xml:space="preserve"> </w:t>
      </w:r>
      <w:r>
        <w:t>L</w:t>
      </w:r>
      <w:r>
        <w:rPr>
          <w:spacing w:val="3"/>
        </w:rPr>
        <w:t xml:space="preserve"> </w:t>
      </w:r>
      <w:r>
        <w:t>712-7,</w:t>
      </w:r>
      <w:r>
        <w:rPr>
          <w:spacing w:val="4"/>
        </w:rPr>
        <w:t xml:space="preserve"> </w:t>
      </w:r>
      <w:r>
        <w:t>L-713-2,</w:t>
      </w:r>
      <w:r>
        <w:rPr>
          <w:spacing w:val="4"/>
        </w:rPr>
        <w:t xml:space="preserve"> </w:t>
      </w:r>
      <w:r>
        <w:t>L</w:t>
      </w:r>
      <w:r>
        <w:rPr>
          <w:spacing w:val="4"/>
        </w:rPr>
        <w:t xml:space="preserve"> </w:t>
      </w:r>
      <w:r>
        <w:t>713-3,</w:t>
      </w:r>
      <w:r>
        <w:rPr>
          <w:spacing w:val="4"/>
        </w:rPr>
        <w:t xml:space="preserve"> </w:t>
      </w:r>
      <w:r>
        <w:t>R</w:t>
      </w:r>
      <w:r>
        <w:rPr>
          <w:spacing w:val="2"/>
        </w:rPr>
        <w:t xml:space="preserve"> </w:t>
      </w:r>
      <w:r>
        <w:t>411-17,</w:t>
      </w:r>
      <w:r>
        <w:rPr>
          <w:spacing w:val="4"/>
        </w:rPr>
        <w:t xml:space="preserve"> </w:t>
      </w:r>
      <w:r>
        <w:t>R</w:t>
      </w:r>
      <w:r>
        <w:rPr>
          <w:spacing w:val="4"/>
        </w:rPr>
        <w:t xml:space="preserve"> </w:t>
      </w:r>
      <w:r>
        <w:t>712-13</w:t>
      </w:r>
      <w:r>
        <w:rPr>
          <w:spacing w:val="4"/>
        </w:rPr>
        <w:t xml:space="preserve"> </w:t>
      </w:r>
      <w:r>
        <w:t>à</w:t>
      </w:r>
      <w:r>
        <w:rPr>
          <w:spacing w:val="4"/>
        </w:rPr>
        <w:t xml:space="preserve"> </w:t>
      </w:r>
      <w:r>
        <w:t>R</w:t>
      </w:r>
      <w:r>
        <w:rPr>
          <w:spacing w:val="4"/>
        </w:rPr>
        <w:t xml:space="preserve"> </w:t>
      </w:r>
      <w:r>
        <w:t>712-19,</w:t>
      </w:r>
      <w:r>
        <w:rPr>
          <w:spacing w:val="4"/>
        </w:rPr>
        <w:t xml:space="preserve"> </w:t>
      </w:r>
      <w:r>
        <w:t>R</w:t>
      </w:r>
      <w:r>
        <w:rPr>
          <w:spacing w:val="2"/>
        </w:rPr>
        <w:t xml:space="preserve"> </w:t>
      </w:r>
      <w:r>
        <w:t>712-21,</w:t>
      </w:r>
      <w:r>
        <w:rPr>
          <w:spacing w:val="5"/>
        </w:rPr>
        <w:t xml:space="preserve"> </w:t>
      </w:r>
      <w:r>
        <w:t>R</w:t>
      </w:r>
      <w:r>
        <w:rPr>
          <w:spacing w:val="4"/>
        </w:rPr>
        <w:t xml:space="preserve"> </w:t>
      </w:r>
      <w:r>
        <w:t>712-26</w:t>
      </w:r>
      <w:r>
        <w:rPr>
          <w:spacing w:val="3"/>
        </w:rPr>
        <w:t xml:space="preserve"> </w:t>
      </w:r>
      <w:r>
        <w:t>et</w:t>
      </w:r>
      <w:r>
        <w:rPr>
          <w:spacing w:val="4"/>
        </w:rPr>
        <w:t xml:space="preserve"> </w:t>
      </w:r>
      <w:r>
        <w:t>R</w:t>
      </w:r>
      <w:r>
        <w:rPr>
          <w:spacing w:val="2"/>
        </w:rPr>
        <w:t xml:space="preserve"> </w:t>
      </w:r>
      <w:r>
        <w:t>718-2</w:t>
      </w:r>
      <w:r>
        <w:rPr>
          <w:spacing w:val="4"/>
        </w:rPr>
        <w:t xml:space="preserve"> </w:t>
      </w:r>
      <w:r>
        <w:rPr>
          <w:spacing w:val="-10"/>
        </w:rPr>
        <w:t>à</w:t>
      </w:r>
    </w:p>
    <w:p w14:paraId="04752400" w14:textId="77777777" w:rsidR="00E07A7F" w:rsidRDefault="00000000">
      <w:pPr>
        <w:pStyle w:val="Corpsdetexte"/>
        <w:spacing w:line="231" w:lineRule="exact"/>
        <w:ind w:left="2"/>
        <w:jc w:val="both"/>
      </w:pPr>
      <w:r>
        <w:t>R 718-5</w:t>
      </w:r>
      <w:r>
        <w:rPr>
          <w:spacing w:val="-2"/>
        </w:rPr>
        <w:t xml:space="preserve"> </w:t>
      </w:r>
      <w:r>
        <w:rPr>
          <w:spacing w:val="-10"/>
        </w:rPr>
        <w:t>;</w:t>
      </w:r>
    </w:p>
    <w:p w14:paraId="1CF2BBDD" w14:textId="77777777" w:rsidR="00E07A7F" w:rsidRDefault="00E07A7F">
      <w:pPr>
        <w:pStyle w:val="Corpsdetexte"/>
        <w:spacing w:before="58"/>
      </w:pPr>
    </w:p>
    <w:p w14:paraId="271DD90A" w14:textId="77777777" w:rsidR="00E07A7F" w:rsidRDefault="00000000">
      <w:pPr>
        <w:pStyle w:val="Corpsdetexte"/>
        <w:spacing w:line="283" w:lineRule="auto"/>
        <w:ind w:left="2" w:right="151" w:firstLine="568"/>
        <w:jc w:val="both"/>
      </w:pPr>
      <w:r>
        <w:rPr>
          <w:rFonts w:ascii="Cambria" w:hAnsi="Cambria"/>
          <w:b/>
        </w:rPr>
        <w:t xml:space="preserve">Vu </w:t>
      </w:r>
      <w:r>
        <w:t>l’arrêté du 24 avril 2008 modifié, relatif aux redevances de procédure perçues par l'Institut national de la propriété industrielle ;</w:t>
      </w:r>
    </w:p>
    <w:p w14:paraId="3F1C209C" w14:textId="77777777" w:rsidR="00E07A7F" w:rsidRDefault="00E07A7F">
      <w:pPr>
        <w:pStyle w:val="Corpsdetexte"/>
        <w:spacing w:before="12"/>
      </w:pPr>
    </w:p>
    <w:p w14:paraId="351BE18E" w14:textId="77777777" w:rsidR="00E07A7F" w:rsidRDefault="00000000">
      <w:pPr>
        <w:pStyle w:val="Corpsdetexte"/>
        <w:spacing w:before="1" w:line="271" w:lineRule="auto"/>
        <w:ind w:left="2" w:right="160" w:firstLine="568"/>
        <w:jc w:val="both"/>
      </w:pPr>
      <w:r>
        <w:rPr>
          <w:rFonts w:ascii="Cambria" w:hAnsi="Cambria"/>
          <w:b/>
        </w:rPr>
        <w:t xml:space="preserve">Vu </w:t>
      </w:r>
      <w:r>
        <w:t>la décision modifiée n° 2014-142 bis du Directeur Général de l'Institut National de la Propriété Industrielle relative aux conditions de présentation et au contenu du dossier des demandes d'enregistrement de marques ;</w:t>
      </w:r>
    </w:p>
    <w:p w14:paraId="09A8D91C" w14:textId="77777777" w:rsidR="00E07A7F" w:rsidRDefault="00E07A7F">
      <w:pPr>
        <w:pStyle w:val="Corpsdetexte"/>
        <w:spacing w:before="25"/>
      </w:pPr>
    </w:p>
    <w:p w14:paraId="2D9DB674" w14:textId="77777777" w:rsidR="00E07A7F" w:rsidRDefault="00000000">
      <w:pPr>
        <w:pStyle w:val="Corpsdetexte"/>
        <w:spacing w:line="280" w:lineRule="auto"/>
        <w:ind w:left="2" w:right="156" w:firstLine="568"/>
        <w:jc w:val="both"/>
      </w:pPr>
      <w:r>
        <w:rPr>
          <w:rFonts w:ascii="Cambria" w:hAnsi="Cambria"/>
          <w:b/>
        </w:rPr>
        <w:t xml:space="preserve">Vu </w:t>
      </w:r>
      <w:r>
        <w:t>la décision n° 2019-158 du Directeur Général de l'Institut National de la Propriété Industrielle relative aux modalités de la procédure d’opposition à enregistrement d’une marque.</w:t>
      </w:r>
    </w:p>
    <w:p w14:paraId="166D4B39" w14:textId="77777777" w:rsidR="00E07A7F" w:rsidRDefault="00E07A7F">
      <w:pPr>
        <w:pStyle w:val="Corpsdetexte"/>
      </w:pPr>
    </w:p>
    <w:p w14:paraId="79EB7D54" w14:textId="77777777" w:rsidR="00E07A7F" w:rsidRDefault="00E07A7F">
      <w:pPr>
        <w:pStyle w:val="Corpsdetexte"/>
      </w:pPr>
    </w:p>
    <w:p w14:paraId="5A34057C" w14:textId="77777777" w:rsidR="00E07A7F" w:rsidRDefault="00E07A7F">
      <w:pPr>
        <w:pStyle w:val="Corpsdetexte"/>
      </w:pPr>
    </w:p>
    <w:p w14:paraId="18C35D8F" w14:textId="77777777" w:rsidR="00E07A7F" w:rsidRDefault="00E07A7F">
      <w:pPr>
        <w:pStyle w:val="Corpsdetexte"/>
        <w:spacing w:before="117"/>
      </w:pPr>
    </w:p>
    <w:p w14:paraId="19E905ED" w14:textId="77777777" w:rsidR="00E07A7F" w:rsidRDefault="00000000">
      <w:pPr>
        <w:ind w:left="2"/>
        <w:jc w:val="both"/>
        <w:rPr>
          <w:rFonts w:ascii="Cambria" w:hAnsi="Cambria"/>
          <w:b/>
        </w:rPr>
      </w:pPr>
      <w:r>
        <w:rPr>
          <w:rFonts w:ascii="Cambria" w:hAnsi="Cambria"/>
          <w:b/>
          <w:w w:val="105"/>
        </w:rPr>
        <w:t>I.-</w:t>
      </w:r>
      <w:r>
        <w:rPr>
          <w:rFonts w:ascii="Cambria" w:hAnsi="Cambria"/>
          <w:b/>
          <w:spacing w:val="-4"/>
          <w:w w:val="105"/>
        </w:rPr>
        <w:t xml:space="preserve"> </w:t>
      </w:r>
      <w:r>
        <w:rPr>
          <w:rFonts w:ascii="Cambria" w:hAnsi="Cambria"/>
          <w:b/>
          <w:w w:val="105"/>
        </w:rPr>
        <w:t>FAITS</w:t>
      </w:r>
      <w:r>
        <w:rPr>
          <w:rFonts w:ascii="Cambria" w:hAnsi="Cambria"/>
          <w:b/>
          <w:spacing w:val="-4"/>
          <w:w w:val="105"/>
        </w:rPr>
        <w:t xml:space="preserve"> </w:t>
      </w:r>
      <w:r>
        <w:rPr>
          <w:rFonts w:ascii="Cambria" w:hAnsi="Cambria"/>
          <w:b/>
          <w:w w:val="105"/>
        </w:rPr>
        <w:t>ET</w:t>
      </w:r>
      <w:r>
        <w:rPr>
          <w:rFonts w:ascii="Cambria" w:hAnsi="Cambria"/>
          <w:b/>
          <w:spacing w:val="-6"/>
          <w:w w:val="105"/>
        </w:rPr>
        <w:t xml:space="preserve"> </w:t>
      </w:r>
      <w:r>
        <w:rPr>
          <w:rFonts w:ascii="Cambria" w:hAnsi="Cambria"/>
          <w:b/>
          <w:spacing w:val="-2"/>
          <w:w w:val="105"/>
        </w:rPr>
        <w:t>PROCÉDURE</w:t>
      </w:r>
    </w:p>
    <w:p w14:paraId="1B9519CF" w14:textId="77777777" w:rsidR="00E07A7F" w:rsidRDefault="00E07A7F">
      <w:pPr>
        <w:pStyle w:val="Corpsdetexte"/>
        <w:rPr>
          <w:rFonts w:ascii="Cambria"/>
          <w:b/>
        </w:rPr>
      </w:pPr>
    </w:p>
    <w:p w14:paraId="420BE354" w14:textId="77777777" w:rsidR="00E07A7F" w:rsidRDefault="00E07A7F">
      <w:pPr>
        <w:pStyle w:val="Corpsdetexte"/>
        <w:spacing w:before="77"/>
        <w:rPr>
          <w:rFonts w:ascii="Cambria"/>
          <w:b/>
        </w:rPr>
      </w:pPr>
    </w:p>
    <w:p w14:paraId="5D1CF225" w14:textId="77777777" w:rsidR="00E07A7F" w:rsidRDefault="00000000">
      <w:pPr>
        <w:pStyle w:val="Corpsdetexte"/>
        <w:spacing w:before="1" w:line="259" w:lineRule="auto"/>
        <w:ind w:left="2" w:right="200"/>
        <w:jc w:val="both"/>
      </w:pPr>
      <w:r>
        <w:t>Naouel B Y Bouanani et AZZA SLIMENE ont déposé, le 5 septembre 2023, la demande d’enregistrement n° 23/ 4988290 portant sur le signe verbal MAISON ALIEN.</w:t>
      </w:r>
    </w:p>
    <w:p w14:paraId="3A824D1C" w14:textId="77777777" w:rsidR="00E07A7F" w:rsidRDefault="00E07A7F">
      <w:pPr>
        <w:pStyle w:val="Corpsdetexte"/>
        <w:spacing w:before="20"/>
      </w:pPr>
    </w:p>
    <w:p w14:paraId="33D4F294" w14:textId="77777777" w:rsidR="00E07A7F" w:rsidRDefault="00000000">
      <w:pPr>
        <w:pStyle w:val="Corpsdetexte"/>
        <w:tabs>
          <w:tab w:val="left" w:pos="2735"/>
          <w:tab w:val="left" w:pos="5054"/>
          <w:tab w:val="left" w:pos="7322"/>
        </w:tabs>
        <w:ind w:left="2" w:right="137"/>
        <w:jc w:val="both"/>
      </w:pPr>
      <w:r>
        <w:t xml:space="preserve">Le 29 novembre 2023, la société L'OREAL (Société anonyme) a formé opposition à l’enregistrement de cette marque sur la base de la marque verbale ALIEN, renouvelée en dernier lieu par déclaration du 29 </w:t>
      </w:r>
      <w:r>
        <w:rPr>
          <w:spacing w:val="-2"/>
        </w:rPr>
        <w:t>décembre</w:t>
      </w:r>
      <w:r>
        <w:tab/>
      </w:r>
      <w:r>
        <w:rPr>
          <w:spacing w:val="-4"/>
        </w:rPr>
        <w:t>2023</w:t>
      </w:r>
      <w:r>
        <w:tab/>
      </w:r>
      <w:r>
        <w:rPr>
          <w:spacing w:val="-4"/>
        </w:rPr>
        <w:t>sous</w:t>
      </w:r>
      <w:r>
        <w:tab/>
      </w:r>
      <w:r>
        <w:rPr>
          <w:spacing w:val="-6"/>
        </w:rPr>
        <w:t>le</w:t>
      </w:r>
    </w:p>
    <w:p w14:paraId="0B6AF594" w14:textId="77777777" w:rsidR="00E07A7F" w:rsidRDefault="00000000">
      <w:pPr>
        <w:pStyle w:val="Corpsdetexte"/>
        <w:ind w:left="2" w:right="141"/>
        <w:jc w:val="both"/>
      </w:pPr>
      <w:r>
        <w:t>n° 03 / 3259617, sur le fondement du risque de confusion, dont la société opposante indique être devenue propriétaire suite à une transmission de propriété inscrite au registre.</w:t>
      </w:r>
    </w:p>
    <w:p w14:paraId="215BF221" w14:textId="77777777" w:rsidR="00E07A7F" w:rsidRDefault="00E07A7F">
      <w:pPr>
        <w:pStyle w:val="Corpsdetexte"/>
        <w:jc w:val="both"/>
        <w:sectPr w:rsidR="00E07A7F">
          <w:type w:val="continuous"/>
          <w:pgSz w:w="11910" w:h="16840"/>
          <w:pgMar w:top="1920" w:right="1133" w:bottom="540" w:left="1275" w:header="0" w:footer="347" w:gutter="0"/>
          <w:cols w:space="720"/>
        </w:sectPr>
      </w:pPr>
    </w:p>
    <w:p w14:paraId="5F649AC7" w14:textId="77777777" w:rsidR="00E07A7F" w:rsidRDefault="00000000">
      <w:pPr>
        <w:pStyle w:val="Corpsdetexte"/>
        <w:spacing w:before="77"/>
        <w:ind w:left="2" w:right="160"/>
        <w:jc w:val="both"/>
      </w:pPr>
      <w:r>
        <w:lastRenderedPageBreak/>
        <w:t>L'opposition a été notifiée aux titulaires de la demande d’enregistrement. Cette notification les invitait à présenter des observations en réponse à l'opposition dans un délai de deux mois.</w:t>
      </w:r>
    </w:p>
    <w:p w14:paraId="3192A660" w14:textId="77777777" w:rsidR="00E07A7F" w:rsidRDefault="00E07A7F">
      <w:pPr>
        <w:pStyle w:val="Corpsdetexte"/>
        <w:spacing w:before="18"/>
      </w:pPr>
    </w:p>
    <w:p w14:paraId="620581CC" w14:textId="77777777" w:rsidR="00E07A7F" w:rsidRDefault="00000000">
      <w:pPr>
        <w:pStyle w:val="Corpsdetexte"/>
        <w:spacing w:before="1"/>
        <w:ind w:left="2" w:right="159"/>
        <w:jc w:val="both"/>
      </w:pPr>
      <w:r>
        <w:t>Aucune observation en réponse à l'opposition n'ayant été présentée à l'Institut dans le délai imparti, la phase d’instruction a pris fin, ce dont les parties ont été informées.</w:t>
      </w:r>
    </w:p>
    <w:p w14:paraId="08514F8C" w14:textId="77777777" w:rsidR="00E07A7F" w:rsidRDefault="00E07A7F">
      <w:pPr>
        <w:pStyle w:val="Corpsdetexte"/>
        <w:spacing w:before="93"/>
      </w:pPr>
    </w:p>
    <w:p w14:paraId="32655892" w14:textId="77777777" w:rsidR="00E07A7F" w:rsidRDefault="00000000">
      <w:pPr>
        <w:ind w:left="2"/>
        <w:jc w:val="both"/>
        <w:rPr>
          <w:rFonts w:ascii="Cambria" w:hAnsi="Cambria"/>
          <w:b/>
        </w:rPr>
      </w:pPr>
      <w:r>
        <w:rPr>
          <w:rFonts w:ascii="Cambria" w:hAnsi="Cambria"/>
          <w:b/>
          <w:w w:val="110"/>
        </w:rPr>
        <w:t>II.-</w:t>
      </w:r>
      <w:r>
        <w:rPr>
          <w:rFonts w:ascii="Cambria" w:hAnsi="Cambria"/>
          <w:b/>
          <w:spacing w:val="-1"/>
          <w:w w:val="110"/>
        </w:rPr>
        <w:t xml:space="preserve"> </w:t>
      </w:r>
      <w:r>
        <w:rPr>
          <w:rFonts w:ascii="Cambria" w:hAnsi="Cambria"/>
          <w:b/>
          <w:spacing w:val="-2"/>
          <w:w w:val="110"/>
        </w:rPr>
        <w:t>DÉCISION</w:t>
      </w:r>
    </w:p>
    <w:p w14:paraId="7503A10B" w14:textId="77777777" w:rsidR="00E07A7F" w:rsidRDefault="00E07A7F">
      <w:pPr>
        <w:pStyle w:val="Corpsdetexte"/>
        <w:rPr>
          <w:rFonts w:ascii="Cambria"/>
          <w:b/>
        </w:rPr>
      </w:pPr>
    </w:p>
    <w:p w14:paraId="27461231" w14:textId="77777777" w:rsidR="00E07A7F" w:rsidRDefault="00E07A7F">
      <w:pPr>
        <w:pStyle w:val="Corpsdetexte"/>
        <w:spacing w:before="184"/>
        <w:rPr>
          <w:rFonts w:ascii="Cambria"/>
          <w:b/>
        </w:rPr>
      </w:pPr>
    </w:p>
    <w:p w14:paraId="4634AA8E" w14:textId="77777777" w:rsidR="00E07A7F" w:rsidRDefault="00000000">
      <w:pPr>
        <w:pStyle w:val="Corpsdetexte"/>
        <w:spacing w:line="259" w:lineRule="auto"/>
        <w:ind w:left="2" w:right="154"/>
        <w:jc w:val="both"/>
      </w:pPr>
      <w:r>
        <w:t>Le risque de confusion s'entend du risque que le public puisse croire que les produits ou les services en cause proviennent de la même entreprise ou, le cas échéant, d’entreprises liées économiquement. Le risque de confusion comprend le risque d’association.</w:t>
      </w:r>
    </w:p>
    <w:p w14:paraId="6D7FF1BC" w14:textId="77777777" w:rsidR="00E07A7F" w:rsidRDefault="00E07A7F">
      <w:pPr>
        <w:pStyle w:val="Corpsdetexte"/>
        <w:spacing w:before="19"/>
      </w:pPr>
    </w:p>
    <w:p w14:paraId="6069A591" w14:textId="77777777" w:rsidR="00E07A7F" w:rsidRDefault="00000000">
      <w:pPr>
        <w:pStyle w:val="Corpsdetexte"/>
        <w:spacing w:line="259" w:lineRule="auto"/>
        <w:ind w:left="2" w:right="162"/>
        <w:jc w:val="both"/>
      </w:pPr>
      <w:r>
        <w:t xml:space="preserve">L’existence d’un risque de confusion doit être appréciée globalement en tenant compte de nombreux facteurs qui incluent la similitude des signes, la similitude des produits et des services, le caractère distinctif de la marque antérieure, les éléments distinctifs et dominants des signes en litige et le public </w:t>
      </w:r>
      <w:r>
        <w:rPr>
          <w:spacing w:val="-2"/>
        </w:rPr>
        <w:t>pertinent.</w:t>
      </w:r>
    </w:p>
    <w:p w14:paraId="500197A6" w14:textId="77777777" w:rsidR="00E07A7F" w:rsidRDefault="00E07A7F">
      <w:pPr>
        <w:pStyle w:val="Corpsdetexte"/>
        <w:spacing w:before="93"/>
      </w:pPr>
    </w:p>
    <w:p w14:paraId="68238B53" w14:textId="77777777" w:rsidR="00E07A7F" w:rsidRDefault="00000000">
      <w:pPr>
        <w:pStyle w:val="Titre1"/>
      </w:pPr>
      <w:r>
        <w:t>Sur</w:t>
      </w:r>
      <w:r>
        <w:rPr>
          <w:spacing w:val="7"/>
        </w:rPr>
        <w:t xml:space="preserve"> </w:t>
      </w:r>
      <w:r>
        <w:t>la</w:t>
      </w:r>
      <w:r>
        <w:rPr>
          <w:spacing w:val="6"/>
        </w:rPr>
        <w:t xml:space="preserve"> </w:t>
      </w:r>
      <w:r>
        <w:t>comparaison</w:t>
      </w:r>
      <w:r>
        <w:rPr>
          <w:spacing w:val="6"/>
        </w:rPr>
        <w:t xml:space="preserve"> </w:t>
      </w:r>
      <w:r>
        <w:t>des</w:t>
      </w:r>
      <w:r>
        <w:rPr>
          <w:spacing w:val="7"/>
        </w:rPr>
        <w:t xml:space="preserve"> </w:t>
      </w:r>
      <w:r>
        <w:rPr>
          <w:spacing w:val="-2"/>
        </w:rPr>
        <w:t>produits</w:t>
      </w:r>
    </w:p>
    <w:p w14:paraId="36A4EF0E" w14:textId="77777777" w:rsidR="00E07A7F" w:rsidRDefault="00E07A7F">
      <w:pPr>
        <w:pStyle w:val="Corpsdetexte"/>
        <w:spacing w:before="115"/>
        <w:rPr>
          <w:rFonts w:ascii="Cambria"/>
          <w:b/>
        </w:rPr>
      </w:pPr>
    </w:p>
    <w:p w14:paraId="7073C83F" w14:textId="77777777" w:rsidR="00E07A7F" w:rsidRDefault="00000000">
      <w:pPr>
        <w:pStyle w:val="Corpsdetexte"/>
        <w:spacing w:before="1"/>
        <w:ind w:left="2" w:right="141"/>
        <w:jc w:val="both"/>
      </w:pPr>
      <w:r>
        <w:t>Pour apprécier la similitude entre les produits et les services, il y a lieu de tenir compte de tous les</w:t>
      </w:r>
      <w:r>
        <w:rPr>
          <w:spacing w:val="40"/>
        </w:rPr>
        <w:t xml:space="preserve"> </w:t>
      </w:r>
      <w:r>
        <w:t>facteurs pertinents qui caractérisent le rapport entre ces produits et services. Les facteurs pertinents concernant la comparaison des produits ou des services incluent, en particulier, leur nature, leur fonction, leur destination ainsi que leur caractère complémentaire.</w:t>
      </w:r>
    </w:p>
    <w:p w14:paraId="24D602C3" w14:textId="77777777" w:rsidR="00E07A7F" w:rsidRDefault="00E07A7F">
      <w:pPr>
        <w:pStyle w:val="Corpsdetexte"/>
        <w:spacing w:before="21"/>
      </w:pPr>
    </w:p>
    <w:p w14:paraId="4134BFA4" w14:textId="77777777" w:rsidR="00E07A7F" w:rsidRDefault="00000000">
      <w:pPr>
        <w:ind w:left="2" w:right="147"/>
        <w:jc w:val="both"/>
      </w:pPr>
      <w:r>
        <w:t>L'opposition</w:t>
      </w:r>
      <w:r>
        <w:rPr>
          <w:spacing w:val="-1"/>
        </w:rPr>
        <w:t xml:space="preserve"> </w:t>
      </w:r>
      <w:r>
        <w:t>est</w:t>
      </w:r>
      <w:r>
        <w:rPr>
          <w:spacing w:val="-1"/>
        </w:rPr>
        <w:t xml:space="preserve"> </w:t>
      </w:r>
      <w:r>
        <w:t>formée</w:t>
      </w:r>
      <w:r>
        <w:rPr>
          <w:spacing w:val="-1"/>
        </w:rPr>
        <w:t xml:space="preserve"> </w:t>
      </w:r>
      <w:r>
        <w:t>contre</w:t>
      </w:r>
      <w:r>
        <w:rPr>
          <w:spacing w:val="-1"/>
        </w:rPr>
        <w:t xml:space="preserve"> </w:t>
      </w:r>
      <w:r>
        <w:t>les</w:t>
      </w:r>
      <w:r>
        <w:rPr>
          <w:spacing w:val="-1"/>
        </w:rPr>
        <w:t xml:space="preserve"> </w:t>
      </w:r>
      <w:r>
        <w:t>produits suivants</w:t>
      </w:r>
      <w:r>
        <w:rPr>
          <w:spacing w:val="-1"/>
        </w:rPr>
        <w:t xml:space="preserve"> </w:t>
      </w:r>
      <w:r>
        <w:t>:</w:t>
      </w:r>
      <w:r>
        <w:rPr>
          <w:spacing w:val="-1"/>
        </w:rPr>
        <w:t xml:space="preserve"> </w:t>
      </w:r>
      <w:r>
        <w:t>«</w:t>
      </w:r>
      <w:r>
        <w:rPr>
          <w:spacing w:val="-1"/>
        </w:rPr>
        <w:t xml:space="preserve"> </w:t>
      </w:r>
      <w:r>
        <w:rPr>
          <w:i/>
        </w:rPr>
        <w:t>savons;</w:t>
      </w:r>
      <w:r>
        <w:rPr>
          <w:i/>
          <w:spacing w:val="-1"/>
        </w:rPr>
        <w:t xml:space="preserve"> </w:t>
      </w:r>
      <w:r>
        <w:rPr>
          <w:i/>
        </w:rPr>
        <w:t>parfums;</w:t>
      </w:r>
      <w:r>
        <w:rPr>
          <w:i/>
          <w:spacing w:val="-1"/>
        </w:rPr>
        <w:t xml:space="preserve"> </w:t>
      </w:r>
      <w:r>
        <w:rPr>
          <w:i/>
        </w:rPr>
        <w:t>huiles</w:t>
      </w:r>
      <w:r>
        <w:rPr>
          <w:i/>
          <w:spacing w:val="-1"/>
        </w:rPr>
        <w:t xml:space="preserve"> </w:t>
      </w:r>
      <w:r>
        <w:rPr>
          <w:i/>
        </w:rPr>
        <w:t>essentielles;</w:t>
      </w:r>
      <w:r>
        <w:rPr>
          <w:i/>
          <w:spacing w:val="-1"/>
        </w:rPr>
        <w:t xml:space="preserve"> </w:t>
      </w:r>
      <w:r>
        <w:rPr>
          <w:i/>
        </w:rPr>
        <w:t xml:space="preserve">cosmétiques; lotions pour les cheveux; dentifrices; dépilatoires; produits de démaquillage; rouge à lèvres; masques de beauté; produits de rasage; bougies pour l'éclairage </w:t>
      </w:r>
      <w:r>
        <w:t>».</w:t>
      </w:r>
    </w:p>
    <w:p w14:paraId="1FA8D763" w14:textId="77777777" w:rsidR="00E07A7F" w:rsidRDefault="00E07A7F">
      <w:pPr>
        <w:pStyle w:val="Corpsdetexte"/>
        <w:spacing w:before="20"/>
      </w:pPr>
    </w:p>
    <w:p w14:paraId="2B5BBE84" w14:textId="77777777" w:rsidR="00E07A7F" w:rsidRDefault="00000000">
      <w:pPr>
        <w:ind w:left="2" w:right="179"/>
      </w:pPr>
      <w:r>
        <w:t xml:space="preserve">La marque antérieure a été enregistrée notamment pour les produits suivants : « </w:t>
      </w:r>
      <w:r>
        <w:rPr>
          <w:i/>
        </w:rPr>
        <w:t>Parfums, eaux de toilettes,</w:t>
      </w:r>
      <w:r>
        <w:rPr>
          <w:i/>
          <w:spacing w:val="-3"/>
        </w:rPr>
        <w:t xml:space="preserve"> </w:t>
      </w:r>
      <w:r>
        <w:rPr>
          <w:i/>
        </w:rPr>
        <w:t>eaux</w:t>
      </w:r>
      <w:r>
        <w:rPr>
          <w:i/>
          <w:spacing w:val="-3"/>
        </w:rPr>
        <w:t xml:space="preserve"> </w:t>
      </w:r>
      <w:r>
        <w:rPr>
          <w:i/>
        </w:rPr>
        <w:t>de</w:t>
      </w:r>
      <w:r>
        <w:rPr>
          <w:i/>
          <w:spacing w:val="-5"/>
        </w:rPr>
        <w:t xml:space="preserve"> </w:t>
      </w:r>
      <w:r>
        <w:rPr>
          <w:i/>
        </w:rPr>
        <w:t>parfums,</w:t>
      </w:r>
      <w:r>
        <w:rPr>
          <w:i/>
          <w:spacing w:val="-3"/>
        </w:rPr>
        <w:t xml:space="preserve"> </w:t>
      </w:r>
      <w:r>
        <w:rPr>
          <w:i/>
        </w:rPr>
        <w:t>produits</w:t>
      </w:r>
      <w:r>
        <w:rPr>
          <w:i/>
          <w:spacing w:val="-4"/>
        </w:rPr>
        <w:t xml:space="preserve"> </w:t>
      </w:r>
      <w:r>
        <w:rPr>
          <w:i/>
        </w:rPr>
        <w:t>cosmétiques</w:t>
      </w:r>
      <w:r>
        <w:rPr>
          <w:i/>
          <w:spacing w:val="-4"/>
        </w:rPr>
        <w:t xml:space="preserve"> </w:t>
      </w:r>
      <w:r>
        <w:rPr>
          <w:i/>
        </w:rPr>
        <w:t>pour</w:t>
      </w:r>
      <w:r>
        <w:rPr>
          <w:i/>
          <w:spacing w:val="-3"/>
        </w:rPr>
        <w:t xml:space="preserve"> </w:t>
      </w:r>
      <w:r>
        <w:rPr>
          <w:i/>
        </w:rPr>
        <w:t>le</w:t>
      </w:r>
      <w:r>
        <w:rPr>
          <w:i/>
          <w:spacing w:val="-3"/>
        </w:rPr>
        <w:t xml:space="preserve"> </w:t>
      </w:r>
      <w:r>
        <w:rPr>
          <w:i/>
        </w:rPr>
        <w:t>corps,</w:t>
      </w:r>
      <w:r>
        <w:rPr>
          <w:i/>
          <w:spacing w:val="-4"/>
        </w:rPr>
        <w:t xml:space="preserve"> </w:t>
      </w:r>
      <w:r>
        <w:rPr>
          <w:i/>
        </w:rPr>
        <w:t>déodorants</w:t>
      </w:r>
      <w:r>
        <w:rPr>
          <w:i/>
          <w:spacing w:val="-3"/>
        </w:rPr>
        <w:t xml:space="preserve"> </w:t>
      </w:r>
      <w:r>
        <w:rPr>
          <w:i/>
        </w:rPr>
        <w:t>à</w:t>
      </w:r>
      <w:r>
        <w:rPr>
          <w:i/>
          <w:spacing w:val="-5"/>
        </w:rPr>
        <w:t xml:space="preserve"> </w:t>
      </w:r>
      <w:r>
        <w:rPr>
          <w:i/>
        </w:rPr>
        <w:t>usage</w:t>
      </w:r>
      <w:r>
        <w:rPr>
          <w:i/>
          <w:spacing w:val="-5"/>
        </w:rPr>
        <w:t xml:space="preserve"> </w:t>
      </w:r>
      <w:r>
        <w:rPr>
          <w:i/>
        </w:rPr>
        <w:t>personnel.</w:t>
      </w:r>
      <w:r>
        <w:rPr>
          <w:i/>
          <w:spacing w:val="-4"/>
        </w:rPr>
        <w:t xml:space="preserve"> </w:t>
      </w:r>
      <w:r>
        <w:rPr>
          <w:i/>
        </w:rPr>
        <w:t xml:space="preserve">Bougies parfumées </w:t>
      </w:r>
      <w:r>
        <w:t>».</w:t>
      </w:r>
    </w:p>
    <w:p w14:paraId="79A8A7B7" w14:textId="77777777" w:rsidR="00E07A7F" w:rsidRDefault="00E07A7F">
      <w:pPr>
        <w:pStyle w:val="Corpsdetexte"/>
      </w:pPr>
    </w:p>
    <w:p w14:paraId="5637088C" w14:textId="77777777" w:rsidR="00E07A7F" w:rsidRDefault="00000000">
      <w:pPr>
        <w:pStyle w:val="Corpsdetexte"/>
        <w:ind w:left="2"/>
      </w:pPr>
      <w:r>
        <w:t>La</w:t>
      </w:r>
      <w:r>
        <w:rPr>
          <w:spacing w:val="40"/>
        </w:rPr>
        <w:t xml:space="preserve"> </w:t>
      </w:r>
      <w:r>
        <w:t>société</w:t>
      </w:r>
      <w:r>
        <w:rPr>
          <w:spacing w:val="40"/>
        </w:rPr>
        <w:t xml:space="preserve"> </w:t>
      </w:r>
      <w:r>
        <w:t>opposante</w:t>
      </w:r>
      <w:r>
        <w:rPr>
          <w:spacing w:val="40"/>
        </w:rPr>
        <w:t xml:space="preserve"> </w:t>
      </w:r>
      <w:r>
        <w:t>soutient</w:t>
      </w:r>
      <w:r>
        <w:rPr>
          <w:spacing w:val="40"/>
        </w:rPr>
        <w:t xml:space="preserve"> </w:t>
      </w:r>
      <w:r>
        <w:t>que</w:t>
      </w:r>
      <w:r>
        <w:rPr>
          <w:spacing w:val="40"/>
        </w:rPr>
        <w:t xml:space="preserve"> </w:t>
      </w:r>
      <w:r>
        <w:t>les</w:t>
      </w:r>
      <w:r>
        <w:rPr>
          <w:spacing w:val="40"/>
        </w:rPr>
        <w:t xml:space="preserve"> </w:t>
      </w:r>
      <w:r>
        <w:t>produits</w:t>
      </w:r>
      <w:r>
        <w:rPr>
          <w:spacing w:val="40"/>
        </w:rPr>
        <w:t xml:space="preserve"> </w:t>
      </w:r>
      <w:r>
        <w:t>de</w:t>
      </w:r>
      <w:r>
        <w:rPr>
          <w:spacing w:val="40"/>
        </w:rPr>
        <w:t xml:space="preserve"> </w:t>
      </w:r>
      <w:r>
        <w:t>la</w:t>
      </w:r>
      <w:r>
        <w:rPr>
          <w:spacing w:val="40"/>
        </w:rPr>
        <w:t xml:space="preserve"> </w:t>
      </w:r>
      <w:r>
        <w:t>demande</w:t>
      </w:r>
      <w:r>
        <w:rPr>
          <w:spacing w:val="40"/>
        </w:rPr>
        <w:t xml:space="preserve"> </w:t>
      </w:r>
      <w:r>
        <w:t>d'enregistrement</w:t>
      </w:r>
      <w:r>
        <w:rPr>
          <w:spacing w:val="40"/>
        </w:rPr>
        <w:t xml:space="preserve"> </w:t>
      </w:r>
      <w:r>
        <w:t>contestée,</w:t>
      </w:r>
      <w:r>
        <w:rPr>
          <w:spacing w:val="40"/>
        </w:rPr>
        <w:t xml:space="preserve"> </w:t>
      </w:r>
      <w:r>
        <w:t>objets</w:t>
      </w:r>
      <w:r>
        <w:rPr>
          <w:spacing w:val="40"/>
        </w:rPr>
        <w:t xml:space="preserve"> </w:t>
      </w:r>
      <w:r>
        <w:t>de l’opposition, sont identiques et similaires aux produits invoqués de la marque antérieure.</w:t>
      </w:r>
    </w:p>
    <w:p w14:paraId="184FC073" w14:textId="77777777" w:rsidR="00E07A7F" w:rsidRDefault="00000000">
      <w:pPr>
        <w:spacing w:before="252"/>
        <w:ind w:left="2" w:right="152"/>
        <w:jc w:val="both"/>
      </w:pPr>
      <w:r>
        <w:t>Les «</w:t>
      </w:r>
      <w:r>
        <w:rPr>
          <w:spacing w:val="-3"/>
        </w:rPr>
        <w:t xml:space="preserve"> </w:t>
      </w:r>
      <w:r>
        <w:rPr>
          <w:i/>
        </w:rPr>
        <w:t xml:space="preserve">savons; parfums; huiles essentielles; cosmétiques; lotions pour les cheveux; dentifrices; dépilatoires; produits de démaquillage; rouge à lèvres; masques de beauté; produits de rasage; bougies pour l'éclairage </w:t>
      </w:r>
      <w:r>
        <w:t>» de la demande d’enregistrement apparaissent identiques et similaires aux produits invoqués</w:t>
      </w:r>
      <w:r>
        <w:rPr>
          <w:spacing w:val="-2"/>
        </w:rPr>
        <w:t xml:space="preserve"> </w:t>
      </w:r>
      <w:r>
        <w:t>de</w:t>
      </w:r>
      <w:r>
        <w:rPr>
          <w:spacing w:val="-3"/>
        </w:rPr>
        <w:t xml:space="preserve"> </w:t>
      </w:r>
      <w:r>
        <w:t>la</w:t>
      </w:r>
      <w:r>
        <w:rPr>
          <w:spacing w:val="-3"/>
        </w:rPr>
        <w:t xml:space="preserve"> </w:t>
      </w:r>
      <w:r>
        <w:t>marque antérieure. A</w:t>
      </w:r>
      <w:r>
        <w:rPr>
          <w:spacing w:val="-1"/>
        </w:rPr>
        <w:t xml:space="preserve"> </w:t>
      </w:r>
      <w:r>
        <w:t>cet</w:t>
      </w:r>
      <w:r>
        <w:rPr>
          <w:spacing w:val="-2"/>
        </w:rPr>
        <w:t xml:space="preserve"> </w:t>
      </w:r>
      <w:r>
        <w:t>égard,</w:t>
      </w:r>
      <w:r>
        <w:rPr>
          <w:spacing w:val="-2"/>
        </w:rPr>
        <w:t xml:space="preserve"> </w:t>
      </w:r>
      <w:r>
        <w:t>il</w:t>
      </w:r>
      <w:r>
        <w:rPr>
          <w:spacing w:val="-2"/>
        </w:rPr>
        <w:t xml:space="preserve"> </w:t>
      </w:r>
      <w:r>
        <w:t>est expressément</w:t>
      </w:r>
      <w:r>
        <w:rPr>
          <w:spacing w:val="-2"/>
        </w:rPr>
        <w:t xml:space="preserve"> </w:t>
      </w:r>
      <w:r>
        <w:t>renvoyé aux</w:t>
      </w:r>
      <w:r>
        <w:rPr>
          <w:spacing w:val="-3"/>
        </w:rPr>
        <w:t xml:space="preserve"> </w:t>
      </w:r>
      <w:r>
        <w:t>arguments</w:t>
      </w:r>
      <w:r>
        <w:rPr>
          <w:spacing w:val="-2"/>
        </w:rPr>
        <w:t xml:space="preserve"> </w:t>
      </w:r>
      <w:r>
        <w:t>développés par la société opposante, que l’Institut fait siens et auxquels les déposants n’ont pas répondu.</w:t>
      </w:r>
    </w:p>
    <w:p w14:paraId="4696AA3C" w14:textId="77777777" w:rsidR="00E07A7F" w:rsidRDefault="00E07A7F">
      <w:pPr>
        <w:pStyle w:val="Corpsdetexte"/>
      </w:pPr>
    </w:p>
    <w:p w14:paraId="1D0D8AF4" w14:textId="77777777" w:rsidR="00E07A7F" w:rsidRDefault="00000000">
      <w:pPr>
        <w:pStyle w:val="Corpsdetexte"/>
        <w:spacing w:line="259" w:lineRule="auto"/>
        <w:ind w:left="2" w:right="164"/>
        <w:jc w:val="both"/>
      </w:pPr>
      <w:r>
        <w:t>Par conséquent, les produits de la demande d’enregistrement, objets de l’opposition, sont identiques et similaires aux produits invoqués de la marque antérieure.</w:t>
      </w:r>
    </w:p>
    <w:p w14:paraId="2B986D3C" w14:textId="77777777" w:rsidR="00E07A7F" w:rsidRDefault="00E07A7F">
      <w:pPr>
        <w:pStyle w:val="Corpsdetexte"/>
      </w:pPr>
    </w:p>
    <w:p w14:paraId="11A3724A" w14:textId="77777777" w:rsidR="00E07A7F" w:rsidRDefault="00E07A7F">
      <w:pPr>
        <w:pStyle w:val="Corpsdetexte"/>
        <w:spacing w:before="166"/>
      </w:pPr>
    </w:p>
    <w:p w14:paraId="46642C0B" w14:textId="77777777" w:rsidR="00E07A7F" w:rsidRDefault="00000000">
      <w:pPr>
        <w:pStyle w:val="Titre1"/>
        <w:ind w:left="543"/>
      </w:pPr>
      <w:r>
        <w:t>Sur</w:t>
      </w:r>
      <w:r>
        <w:rPr>
          <w:spacing w:val="7"/>
        </w:rPr>
        <w:t xml:space="preserve"> </w:t>
      </w:r>
      <w:r>
        <w:t>la</w:t>
      </w:r>
      <w:r>
        <w:rPr>
          <w:spacing w:val="6"/>
        </w:rPr>
        <w:t xml:space="preserve"> </w:t>
      </w:r>
      <w:r>
        <w:t>comparaison</w:t>
      </w:r>
      <w:r>
        <w:rPr>
          <w:spacing w:val="6"/>
        </w:rPr>
        <w:t xml:space="preserve"> </w:t>
      </w:r>
      <w:r>
        <w:t>des</w:t>
      </w:r>
      <w:r>
        <w:rPr>
          <w:spacing w:val="7"/>
        </w:rPr>
        <w:t xml:space="preserve"> </w:t>
      </w:r>
      <w:r>
        <w:rPr>
          <w:spacing w:val="-2"/>
        </w:rPr>
        <w:t>signes</w:t>
      </w:r>
    </w:p>
    <w:p w14:paraId="0BFA6D74" w14:textId="77777777" w:rsidR="00E07A7F" w:rsidRDefault="00E07A7F">
      <w:pPr>
        <w:pStyle w:val="Corpsdetexte"/>
        <w:spacing w:before="92"/>
        <w:rPr>
          <w:rFonts w:ascii="Cambria"/>
          <w:b/>
        </w:rPr>
      </w:pPr>
    </w:p>
    <w:p w14:paraId="2145AB3F" w14:textId="77777777" w:rsidR="00E07A7F" w:rsidRDefault="00000000">
      <w:pPr>
        <w:pStyle w:val="Corpsdetexte"/>
        <w:ind w:left="2"/>
      </w:pPr>
      <w:r>
        <w:t>La</w:t>
      </w:r>
      <w:r>
        <w:rPr>
          <w:spacing w:val="-6"/>
        </w:rPr>
        <w:t xml:space="preserve"> </w:t>
      </w:r>
      <w:r>
        <w:t>demande</w:t>
      </w:r>
      <w:r>
        <w:rPr>
          <w:spacing w:val="-6"/>
        </w:rPr>
        <w:t xml:space="preserve"> </w:t>
      </w:r>
      <w:r>
        <w:t>d’enregistrement</w:t>
      </w:r>
      <w:r>
        <w:rPr>
          <w:spacing w:val="-5"/>
        </w:rPr>
        <w:t xml:space="preserve"> </w:t>
      </w:r>
      <w:r>
        <w:t>porte</w:t>
      </w:r>
      <w:r>
        <w:rPr>
          <w:spacing w:val="-4"/>
        </w:rPr>
        <w:t xml:space="preserve"> </w:t>
      </w:r>
      <w:r>
        <w:t>sur</w:t>
      </w:r>
      <w:r>
        <w:rPr>
          <w:spacing w:val="-3"/>
        </w:rPr>
        <w:t xml:space="preserve"> </w:t>
      </w:r>
      <w:r>
        <w:t>le</w:t>
      </w:r>
      <w:r>
        <w:rPr>
          <w:spacing w:val="-3"/>
        </w:rPr>
        <w:t xml:space="preserve"> </w:t>
      </w:r>
      <w:r>
        <w:t>signe</w:t>
      </w:r>
      <w:r>
        <w:rPr>
          <w:spacing w:val="-4"/>
        </w:rPr>
        <w:t xml:space="preserve"> </w:t>
      </w:r>
      <w:r>
        <w:t>verbal</w:t>
      </w:r>
      <w:r>
        <w:rPr>
          <w:spacing w:val="-5"/>
        </w:rPr>
        <w:t xml:space="preserve"> </w:t>
      </w:r>
      <w:r>
        <w:t>MAISON</w:t>
      </w:r>
      <w:r>
        <w:rPr>
          <w:spacing w:val="-5"/>
        </w:rPr>
        <w:t xml:space="preserve"> </w:t>
      </w:r>
      <w:r>
        <w:t>ALIEN</w:t>
      </w:r>
      <w:r>
        <w:rPr>
          <w:spacing w:val="-3"/>
        </w:rPr>
        <w:t xml:space="preserve"> </w:t>
      </w:r>
      <w:r>
        <w:t>reproduit</w:t>
      </w:r>
      <w:r>
        <w:rPr>
          <w:spacing w:val="-3"/>
        </w:rPr>
        <w:t xml:space="preserve"> </w:t>
      </w:r>
      <w:r>
        <w:t>ci-dessous</w:t>
      </w:r>
      <w:r>
        <w:rPr>
          <w:spacing w:val="10"/>
        </w:rPr>
        <w:t xml:space="preserve"> </w:t>
      </w:r>
      <w:r>
        <w:rPr>
          <w:spacing w:val="-10"/>
        </w:rPr>
        <w:t>:</w:t>
      </w:r>
    </w:p>
    <w:p w14:paraId="08C75AE5" w14:textId="77777777" w:rsidR="00E07A7F" w:rsidRDefault="00E07A7F">
      <w:pPr>
        <w:pStyle w:val="Corpsdetexte"/>
        <w:rPr>
          <w:sz w:val="20"/>
        </w:rPr>
      </w:pPr>
    </w:p>
    <w:p w14:paraId="62F6AFD9" w14:textId="77777777" w:rsidR="00E07A7F" w:rsidRDefault="00000000">
      <w:pPr>
        <w:pStyle w:val="Corpsdetexte"/>
        <w:spacing w:before="63"/>
        <w:rPr>
          <w:sz w:val="20"/>
        </w:rPr>
      </w:pPr>
      <w:r>
        <w:rPr>
          <w:noProof/>
          <w:sz w:val="20"/>
        </w:rPr>
        <w:drawing>
          <wp:anchor distT="0" distB="0" distL="0" distR="0" simplePos="0" relativeHeight="487588352" behindDoc="1" locked="0" layoutInCell="1" allowOverlap="1" wp14:anchorId="30CE026A" wp14:editId="6A3F7213">
            <wp:simplePos x="0" y="0"/>
            <wp:positionH relativeFrom="page">
              <wp:posOffset>2475894</wp:posOffset>
            </wp:positionH>
            <wp:positionV relativeFrom="paragraph">
              <wp:posOffset>201282</wp:posOffset>
            </wp:positionV>
            <wp:extent cx="2480629" cy="20745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480629" cy="207454"/>
                    </a:xfrm>
                    <a:prstGeom prst="rect">
                      <a:avLst/>
                    </a:prstGeom>
                  </pic:spPr>
                </pic:pic>
              </a:graphicData>
            </a:graphic>
          </wp:anchor>
        </w:drawing>
      </w:r>
    </w:p>
    <w:p w14:paraId="2CC4FB90" w14:textId="77777777" w:rsidR="00E07A7F" w:rsidRDefault="00E07A7F">
      <w:pPr>
        <w:pStyle w:val="Corpsdetexte"/>
        <w:rPr>
          <w:sz w:val="20"/>
        </w:rPr>
        <w:sectPr w:rsidR="00E07A7F">
          <w:pgSz w:w="11910" w:h="16840"/>
          <w:pgMar w:top="1380" w:right="1133" w:bottom="540" w:left="1275" w:header="0" w:footer="347" w:gutter="0"/>
          <w:cols w:space="720"/>
        </w:sectPr>
      </w:pPr>
    </w:p>
    <w:p w14:paraId="1BF39416" w14:textId="77777777" w:rsidR="00E07A7F" w:rsidRDefault="00000000">
      <w:pPr>
        <w:pStyle w:val="Corpsdetexte"/>
        <w:spacing w:before="69"/>
        <w:ind w:left="2"/>
      </w:pPr>
      <w:r>
        <w:lastRenderedPageBreak/>
        <w:t>La</w:t>
      </w:r>
      <w:r>
        <w:rPr>
          <w:spacing w:val="-6"/>
        </w:rPr>
        <w:t xml:space="preserve"> </w:t>
      </w:r>
      <w:r>
        <w:t>marque</w:t>
      </w:r>
      <w:r>
        <w:rPr>
          <w:spacing w:val="-5"/>
        </w:rPr>
        <w:t xml:space="preserve"> </w:t>
      </w:r>
      <w:r>
        <w:t>antérieure</w:t>
      </w:r>
      <w:r>
        <w:rPr>
          <w:spacing w:val="-4"/>
        </w:rPr>
        <w:t xml:space="preserve"> </w:t>
      </w:r>
      <w:r>
        <w:t>porte</w:t>
      </w:r>
      <w:r>
        <w:rPr>
          <w:spacing w:val="-5"/>
        </w:rPr>
        <w:t xml:space="preserve"> </w:t>
      </w:r>
      <w:r>
        <w:t>sur</w:t>
      </w:r>
      <w:r>
        <w:rPr>
          <w:spacing w:val="-4"/>
        </w:rPr>
        <w:t xml:space="preserve"> </w:t>
      </w:r>
      <w:r>
        <w:t>le</w:t>
      </w:r>
      <w:r>
        <w:rPr>
          <w:spacing w:val="-6"/>
        </w:rPr>
        <w:t xml:space="preserve"> </w:t>
      </w:r>
      <w:r>
        <w:t>signe</w:t>
      </w:r>
      <w:r>
        <w:rPr>
          <w:spacing w:val="-3"/>
        </w:rPr>
        <w:t xml:space="preserve"> </w:t>
      </w:r>
      <w:r>
        <w:t>verbal</w:t>
      </w:r>
      <w:r>
        <w:rPr>
          <w:spacing w:val="-4"/>
        </w:rPr>
        <w:t xml:space="preserve"> </w:t>
      </w:r>
      <w:r>
        <w:t>ALIEN,</w:t>
      </w:r>
      <w:r>
        <w:rPr>
          <w:spacing w:val="-3"/>
        </w:rPr>
        <w:t xml:space="preserve"> </w:t>
      </w:r>
      <w:r>
        <w:t>reproduit</w:t>
      </w:r>
      <w:r>
        <w:rPr>
          <w:spacing w:val="-2"/>
        </w:rPr>
        <w:t xml:space="preserve"> </w:t>
      </w:r>
      <w:r>
        <w:t>ci-dessous</w:t>
      </w:r>
      <w:r>
        <w:rPr>
          <w:spacing w:val="9"/>
        </w:rPr>
        <w:t xml:space="preserve"> </w:t>
      </w:r>
      <w:r>
        <w:rPr>
          <w:spacing w:val="-10"/>
        </w:rPr>
        <w:t>:</w:t>
      </w:r>
    </w:p>
    <w:p w14:paraId="6A84E27C" w14:textId="77777777" w:rsidR="00E07A7F" w:rsidRDefault="00000000">
      <w:pPr>
        <w:pStyle w:val="Corpsdetexte"/>
        <w:spacing w:before="203"/>
        <w:rPr>
          <w:sz w:val="20"/>
        </w:rPr>
      </w:pPr>
      <w:r>
        <w:rPr>
          <w:noProof/>
          <w:sz w:val="20"/>
        </w:rPr>
        <w:drawing>
          <wp:anchor distT="0" distB="0" distL="0" distR="0" simplePos="0" relativeHeight="487588864" behindDoc="1" locked="0" layoutInCell="1" allowOverlap="1" wp14:anchorId="1F082D61" wp14:editId="17C199FD">
            <wp:simplePos x="0" y="0"/>
            <wp:positionH relativeFrom="page">
              <wp:posOffset>3653790</wp:posOffset>
            </wp:positionH>
            <wp:positionV relativeFrom="paragraph">
              <wp:posOffset>290358</wp:posOffset>
            </wp:positionV>
            <wp:extent cx="952523" cy="25717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952523" cy="257175"/>
                    </a:xfrm>
                    <a:prstGeom prst="rect">
                      <a:avLst/>
                    </a:prstGeom>
                  </pic:spPr>
                </pic:pic>
              </a:graphicData>
            </a:graphic>
          </wp:anchor>
        </w:drawing>
      </w:r>
    </w:p>
    <w:p w14:paraId="06F1AEBA" w14:textId="77777777" w:rsidR="00E07A7F" w:rsidRDefault="00E07A7F">
      <w:pPr>
        <w:pStyle w:val="Corpsdetexte"/>
      </w:pPr>
    </w:p>
    <w:p w14:paraId="00C8DCD5" w14:textId="77777777" w:rsidR="00E07A7F" w:rsidRDefault="00E07A7F">
      <w:pPr>
        <w:pStyle w:val="Corpsdetexte"/>
        <w:spacing w:before="44"/>
      </w:pPr>
    </w:p>
    <w:p w14:paraId="34CC80E4" w14:textId="77777777" w:rsidR="00E07A7F" w:rsidRDefault="00000000">
      <w:pPr>
        <w:pStyle w:val="Corpsdetexte"/>
        <w:ind w:left="2"/>
      </w:pPr>
      <w:r>
        <w:t>La</w:t>
      </w:r>
      <w:r>
        <w:rPr>
          <w:spacing w:val="-3"/>
        </w:rPr>
        <w:t xml:space="preserve"> </w:t>
      </w:r>
      <w:r>
        <w:t>société</w:t>
      </w:r>
      <w:r>
        <w:rPr>
          <w:spacing w:val="-3"/>
        </w:rPr>
        <w:t xml:space="preserve"> </w:t>
      </w:r>
      <w:r>
        <w:t>opposante</w:t>
      </w:r>
      <w:r>
        <w:rPr>
          <w:spacing w:val="-5"/>
        </w:rPr>
        <w:t xml:space="preserve"> </w:t>
      </w:r>
      <w:r>
        <w:t>soutient</w:t>
      </w:r>
      <w:r>
        <w:rPr>
          <w:spacing w:val="-4"/>
        </w:rPr>
        <w:t xml:space="preserve"> </w:t>
      </w:r>
      <w:r>
        <w:t>que</w:t>
      </w:r>
      <w:r>
        <w:rPr>
          <w:spacing w:val="-3"/>
        </w:rPr>
        <w:t xml:space="preserve"> </w:t>
      </w:r>
      <w:r>
        <w:t>les</w:t>
      </w:r>
      <w:r>
        <w:rPr>
          <w:spacing w:val="-3"/>
        </w:rPr>
        <w:t xml:space="preserve"> </w:t>
      </w:r>
      <w:r>
        <w:t>signes</w:t>
      </w:r>
      <w:r>
        <w:rPr>
          <w:spacing w:val="-2"/>
        </w:rPr>
        <w:t xml:space="preserve"> </w:t>
      </w:r>
      <w:r>
        <w:t>en</w:t>
      </w:r>
      <w:r>
        <w:rPr>
          <w:spacing w:val="-5"/>
        </w:rPr>
        <w:t xml:space="preserve"> </w:t>
      </w:r>
      <w:r>
        <w:t>cause</w:t>
      </w:r>
      <w:r>
        <w:rPr>
          <w:spacing w:val="-5"/>
        </w:rPr>
        <w:t xml:space="preserve"> </w:t>
      </w:r>
      <w:r>
        <w:t>sont</w:t>
      </w:r>
      <w:r>
        <w:rPr>
          <w:spacing w:val="-3"/>
        </w:rPr>
        <w:t xml:space="preserve"> </w:t>
      </w:r>
      <w:r>
        <w:rPr>
          <w:spacing w:val="-2"/>
        </w:rPr>
        <w:t>similaires.</w:t>
      </w:r>
    </w:p>
    <w:p w14:paraId="2479766F" w14:textId="77777777" w:rsidR="00E07A7F" w:rsidRDefault="00E07A7F">
      <w:pPr>
        <w:pStyle w:val="Corpsdetexte"/>
        <w:spacing w:before="40"/>
      </w:pPr>
    </w:p>
    <w:p w14:paraId="62C149DD" w14:textId="77777777" w:rsidR="00E07A7F" w:rsidRDefault="00000000">
      <w:pPr>
        <w:pStyle w:val="Corpsdetexte"/>
        <w:spacing w:line="259" w:lineRule="auto"/>
        <w:ind w:left="2" w:right="155"/>
        <w:jc w:val="both"/>
      </w:pPr>
      <w:r>
        <w:t>L'appréciation globale doit, en ce qui concerne la similitude visuelle, auditive ou conceptuelle des marques en cause, être fondée sur l'impression d'ensemble produite par les marques, en tenant compte notamment de leurs éléments distinctifs et dominants.</w:t>
      </w:r>
    </w:p>
    <w:p w14:paraId="2C3B9B0F" w14:textId="77777777" w:rsidR="00E07A7F" w:rsidRDefault="00E07A7F">
      <w:pPr>
        <w:pStyle w:val="Corpsdetexte"/>
        <w:spacing w:before="20"/>
      </w:pPr>
    </w:p>
    <w:p w14:paraId="05B862AC" w14:textId="77777777" w:rsidR="00E07A7F" w:rsidRDefault="00000000">
      <w:pPr>
        <w:pStyle w:val="Corpsdetexte"/>
        <w:spacing w:line="259" w:lineRule="auto"/>
        <w:ind w:left="2" w:right="155"/>
        <w:jc w:val="both"/>
      </w:pPr>
      <w:r>
        <w:t>Il</w:t>
      </w:r>
      <w:r>
        <w:rPr>
          <w:spacing w:val="-2"/>
        </w:rPr>
        <w:t xml:space="preserve"> </w:t>
      </w:r>
      <w:r>
        <w:t>convient</w:t>
      </w:r>
      <w:r>
        <w:rPr>
          <w:spacing w:val="-2"/>
        </w:rPr>
        <w:t xml:space="preserve"> </w:t>
      </w:r>
      <w:r>
        <w:t>également de</w:t>
      </w:r>
      <w:r>
        <w:rPr>
          <w:spacing w:val="-3"/>
        </w:rPr>
        <w:t xml:space="preserve"> </w:t>
      </w:r>
      <w:r>
        <w:t>tenir</w:t>
      </w:r>
      <w:r>
        <w:rPr>
          <w:spacing w:val="-2"/>
        </w:rPr>
        <w:t xml:space="preserve"> </w:t>
      </w:r>
      <w:r>
        <w:t>compte du</w:t>
      </w:r>
      <w:r>
        <w:rPr>
          <w:spacing w:val="-3"/>
        </w:rPr>
        <w:t xml:space="preserve"> </w:t>
      </w:r>
      <w:r>
        <w:t>fait</w:t>
      </w:r>
      <w:r>
        <w:rPr>
          <w:spacing w:val="-2"/>
        </w:rPr>
        <w:t xml:space="preserve"> </w:t>
      </w:r>
      <w:r>
        <w:t>que le consommateur moyen</w:t>
      </w:r>
      <w:r>
        <w:rPr>
          <w:spacing w:val="-1"/>
        </w:rPr>
        <w:t xml:space="preserve"> </w:t>
      </w:r>
      <w:r>
        <w:t>des</w:t>
      </w:r>
      <w:r>
        <w:rPr>
          <w:spacing w:val="-2"/>
        </w:rPr>
        <w:t xml:space="preserve"> </w:t>
      </w:r>
      <w:r>
        <w:t>produits</w:t>
      </w:r>
      <w:r>
        <w:rPr>
          <w:spacing w:val="-2"/>
        </w:rPr>
        <w:t xml:space="preserve"> </w:t>
      </w:r>
      <w:r>
        <w:t>ou</w:t>
      </w:r>
      <w:r>
        <w:rPr>
          <w:spacing w:val="-1"/>
        </w:rPr>
        <w:t xml:space="preserve"> </w:t>
      </w:r>
      <w:r>
        <w:t>des services en cause</w:t>
      </w:r>
      <w:r>
        <w:rPr>
          <w:spacing w:val="-3"/>
        </w:rPr>
        <w:t xml:space="preserve"> </w:t>
      </w:r>
      <w:r>
        <w:t>n’a</w:t>
      </w:r>
      <w:r>
        <w:rPr>
          <w:spacing w:val="-3"/>
        </w:rPr>
        <w:t xml:space="preserve"> </w:t>
      </w:r>
      <w:r>
        <w:t>que</w:t>
      </w:r>
      <w:r>
        <w:rPr>
          <w:spacing w:val="-3"/>
        </w:rPr>
        <w:t xml:space="preserve"> </w:t>
      </w:r>
      <w:r>
        <w:t>rarement la possibilité de</w:t>
      </w:r>
      <w:r>
        <w:rPr>
          <w:spacing w:val="-3"/>
        </w:rPr>
        <w:t xml:space="preserve"> </w:t>
      </w:r>
      <w:r>
        <w:t>procéder</w:t>
      </w:r>
      <w:r>
        <w:rPr>
          <w:spacing w:val="-2"/>
        </w:rPr>
        <w:t xml:space="preserve"> </w:t>
      </w:r>
      <w:r>
        <w:t>à une</w:t>
      </w:r>
      <w:r>
        <w:rPr>
          <w:spacing w:val="-3"/>
        </w:rPr>
        <w:t xml:space="preserve"> </w:t>
      </w:r>
      <w:r>
        <w:t>comparaison</w:t>
      </w:r>
      <w:r>
        <w:rPr>
          <w:spacing w:val="-1"/>
        </w:rPr>
        <w:t xml:space="preserve"> </w:t>
      </w:r>
      <w:r>
        <w:t>directe des différentes marques, mais doit se fier à l’image imparfaite qu’il a gardée en mémoire.</w:t>
      </w:r>
    </w:p>
    <w:p w14:paraId="0DAE1A42" w14:textId="77777777" w:rsidR="00E07A7F" w:rsidRDefault="00E07A7F">
      <w:pPr>
        <w:pStyle w:val="Corpsdetexte"/>
        <w:spacing w:before="19"/>
      </w:pPr>
    </w:p>
    <w:p w14:paraId="6B320B2C" w14:textId="77777777" w:rsidR="00E07A7F" w:rsidRDefault="00000000">
      <w:pPr>
        <w:pStyle w:val="Corpsdetexte"/>
        <w:ind w:left="2"/>
      </w:pPr>
      <w:r>
        <w:t>Il résulte d’une comparaison globale et objective des signes, que le signe contesté est constitué de deux termes, et la marque antérieure, d’un seul terme.</w:t>
      </w:r>
    </w:p>
    <w:p w14:paraId="79E395D6" w14:textId="77777777" w:rsidR="00E07A7F" w:rsidRDefault="00000000">
      <w:pPr>
        <w:pStyle w:val="Corpsdetexte"/>
        <w:spacing w:before="252" w:line="480" w:lineRule="auto"/>
        <w:ind w:left="2" w:right="1522"/>
      </w:pPr>
      <w:r>
        <w:t>Visuellement,</w:t>
      </w:r>
      <w:r>
        <w:rPr>
          <w:spacing w:val="-4"/>
        </w:rPr>
        <w:t xml:space="preserve"> </w:t>
      </w:r>
      <w:r>
        <w:t>phonétiquement</w:t>
      </w:r>
      <w:r>
        <w:rPr>
          <w:spacing w:val="-5"/>
        </w:rPr>
        <w:t xml:space="preserve"> </w:t>
      </w:r>
      <w:r>
        <w:t>et</w:t>
      </w:r>
      <w:r>
        <w:rPr>
          <w:spacing w:val="-5"/>
        </w:rPr>
        <w:t xml:space="preserve"> </w:t>
      </w:r>
      <w:r>
        <w:t>intellectuellement,</w:t>
      </w:r>
      <w:r>
        <w:rPr>
          <w:spacing w:val="-5"/>
        </w:rPr>
        <w:t xml:space="preserve"> </w:t>
      </w:r>
      <w:r>
        <w:t>ils</w:t>
      </w:r>
      <w:r>
        <w:rPr>
          <w:spacing w:val="-4"/>
        </w:rPr>
        <w:t xml:space="preserve"> </w:t>
      </w:r>
      <w:r>
        <w:t>ont</w:t>
      </w:r>
      <w:r>
        <w:rPr>
          <w:spacing w:val="-5"/>
        </w:rPr>
        <w:t xml:space="preserve"> </w:t>
      </w:r>
      <w:r>
        <w:t>en</w:t>
      </w:r>
      <w:r>
        <w:rPr>
          <w:spacing w:val="-6"/>
        </w:rPr>
        <w:t xml:space="preserve"> </w:t>
      </w:r>
      <w:r>
        <w:t>commun</w:t>
      </w:r>
      <w:r>
        <w:rPr>
          <w:spacing w:val="-5"/>
        </w:rPr>
        <w:t xml:space="preserve"> </w:t>
      </w:r>
      <w:r>
        <w:t>le</w:t>
      </w:r>
      <w:r>
        <w:rPr>
          <w:spacing w:val="-5"/>
        </w:rPr>
        <w:t xml:space="preserve"> </w:t>
      </w:r>
      <w:r>
        <w:t>terme</w:t>
      </w:r>
      <w:r>
        <w:rPr>
          <w:spacing w:val="-5"/>
        </w:rPr>
        <w:t xml:space="preserve"> </w:t>
      </w:r>
      <w:r>
        <w:t>ALIEN. Ils diffèrent par la présence du terme MAISON dans le signe contesté.</w:t>
      </w:r>
    </w:p>
    <w:p w14:paraId="2AF82084" w14:textId="77777777" w:rsidR="00E07A7F" w:rsidRDefault="00000000">
      <w:pPr>
        <w:pStyle w:val="Corpsdetexte"/>
        <w:ind w:left="2"/>
      </w:pPr>
      <w:r>
        <w:t xml:space="preserve">Toutefois, la prise en compte des éléments distinctifs et dominants de ces signes conduit à tempérer ces </w:t>
      </w:r>
      <w:r>
        <w:rPr>
          <w:spacing w:val="-2"/>
        </w:rPr>
        <w:t>différences.</w:t>
      </w:r>
    </w:p>
    <w:p w14:paraId="0C041F7A" w14:textId="77777777" w:rsidR="00E07A7F" w:rsidRDefault="00E07A7F">
      <w:pPr>
        <w:pStyle w:val="Corpsdetexte"/>
        <w:spacing w:before="1"/>
      </w:pPr>
    </w:p>
    <w:p w14:paraId="153855A7" w14:textId="77777777" w:rsidR="00E07A7F" w:rsidRDefault="00000000">
      <w:pPr>
        <w:pStyle w:val="Corpsdetexte"/>
        <w:ind w:left="2" w:right="160"/>
        <w:jc w:val="both"/>
      </w:pPr>
      <w:r>
        <w:t>En effet, l’élément verbal ALIEN, commun aux deux signes, apparaît distinctif au regard des produits en présence, dès lors qu’il ne présente pas de lien direct et concret avec ces derniers pas plus qu’il n’en indique une caractéristique précise.</w:t>
      </w:r>
    </w:p>
    <w:p w14:paraId="2D3AA257" w14:textId="77777777" w:rsidR="00E07A7F" w:rsidRDefault="00E07A7F">
      <w:pPr>
        <w:pStyle w:val="Corpsdetexte"/>
      </w:pPr>
    </w:p>
    <w:p w14:paraId="3D729FB3" w14:textId="77777777" w:rsidR="00E07A7F" w:rsidRDefault="00000000">
      <w:pPr>
        <w:pStyle w:val="Corpsdetexte"/>
        <w:ind w:left="2" w:right="141"/>
        <w:jc w:val="both"/>
      </w:pPr>
      <w:r>
        <w:t>En outre, dans le signe contesté, l’élément verbal ALIEN présente un caractère dominant</w:t>
      </w:r>
      <w:r>
        <w:rPr>
          <w:spacing w:val="32"/>
        </w:rPr>
        <w:t xml:space="preserve"> </w:t>
      </w:r>
      <w:r>
        <w:t>dès lors que le terme</w:t>
      </w:r>
      <w:r>
        <w:rPr>
          <w:spacing w:val="-3"/>
        </w:rPr>
        <w:t xml:space="preserve"> </w:t>
      </w:r>
      <w:r>
        <w:t>MAISON qui le précède présente un</w:t>
      </w:r>
      <w:r>
        <w:rPr>
          <w:spacing w:val="-3"/>
        </w:rPr>
        <w:t xml:space="preserve"> </w:t>
      </w:r>
      <w:r>
        <w:t>caractère faiblement distinctif au</w:t>
      </w:r>
      <w:r>
        <w:rPr>
          <w:spacing w:val="-1"/>
        </w:rPr>
        <w:t xml:space="preserve"> </w:t>
      </w:r>
      <w:r>
        <w:t>regard</w:t>
      </w:r>
      <w:r>
        <w:rPr>
          <w:spacing w:val="-3"/>
        </w:rPr>
        <w:t xml:space="preserve"> </w:t>
      </w:r>
      <w:r>
        <w:t>des produits en</w:t>
      </w:r>
      <w:r>
        <w:rPr>
          <w:spacing w:val="-3"/>
        </w:rPr>
        <w:t xml:space="preserve"> </w:t>
      </w:r>
      <w:r>
        <w:t>cause, ce terme étant couramment utilisé dans la vie des affaires pour désigner un établissement commercial.</w:t>
      </w:r>
    </w:p>
    <w:p w14:paraId="7165636D" w14:textId="77777777" w:rsidR="00E07A7F" w:rsidRDefault="00E07A7F">
      <w:pPr>
        <w:pStyle w:val="Corpsdetexte"/>
        <w:spacing w:before="20"/>
      </w:pPr>
    </w:p>
    <w:p w14:paraId="59A43ECA" w14:textId="77777777" w:rsidR="00E07A7F" w:rsidRDefault="00000000">
      <w:pPr>
        <w:pStyle w:val="Corpsdetexte"/>
        <w:ind w:left="2"/>
        <w:jc w:val="both"/>
      </w:pPr>
      <w:r>
        <w:t>Il</w:t>
      </w:r>
      <w:r>
        <w:rPr>
          <w:spacing w:val="-6"/>
        </w:rPr>
        <w:t xml:space="preserve"> </w:t>
      </w:r>
      <w:r>
        <w:t>en</w:t>
      </w:r>
      <w:r>
        <w:rPr>
          <w:spacing w:val="-4"/>
        </w:rPr>
        <w:t xml:space="preserve"> </w:t>
      </w:r>
      <w:r>
        <w:t>résulte</w:t>
      </w:r>
      <w:r>
        <w:rPr>
          <w:spacing w:val="-4"/>
        </w:rPr>
        <w:t xml:space="preserve"> </w:t>
      </w:r>
      <w:r>
        <w:t>une</w:t>
      </w:r>
      <w:r>
        <w:rPr>
          <w:spacing w:val="-3"/>
        </w:rPr>
        <w:t xml:space="preserve"> </w:t>
      </w:r>
      <w:r>
        <w:t>impression</w:t>
      </w:r>
      <w:r>
        <w:rPr>
          <w:spacing w:val="-2"/>
        </w:rPr>
        <w:t xml:space="preserve"> </w:t>
      </w:r>
      <w:r>
        <w:t>d’ensemble</w:t>
      </w:r>
      <w:r>
        <w:rPr>
          <w:spacing w:val="-2"/>
        </w:rPr>
        <w:t xml:space="preserve"> </w:t>
      </w:r>
      <w:r>
        <w:t>commune</w:t>
      </w:r>
      <w:r>
        <w:rPr>
          <w:spacing w:val="-3"/>
        </w:rPr>
        <w:t xml:space="preserve"> </w:t>
      </w:r>
      <w:r>
        <w:t>entre</w:t>
      </w:r>
      <w:r>
        <w:rPr>
          <w:spacing w:val="-4"/>
        </w:rPr>
        <w:t xml:space="preserve"> </w:t>
      </w:r>
      <w:r>
        <w:t>ces</w:t>
      </w:r>
      <w:r>
        <w:rPr>
          <w:spacing w:val="-3"/>
        </w:rPr>
        <w:t xml:space="preserve"> </w:t>
      </w:r>
      <w:r>
        <w:t>deux</w:t>
      </w:r>
      <w:r>
        <w:rPr>
          <w:spacing w:val="-2"/>
        </w:rPr>
        <w:t xml:space="preserve"> signes.</w:t>
      </w:r>
    </w:p>
    <w:p w14:paraId="0D099E55" w14:textId="77777777" w:rsidR="00E07A7F" w:rsidRDefault="00E07A7F">
      <w:pPr>
        <w:pStyle w:val="Corpsdetexte"/>
        <w:spacing w:before="40"/>
      </w:pPr>
    </w:p>
    <w:p w14:paraId="450BD947" w14:textId="77777777" w:rsidR="00E07A7F" w:rsidRDefault="00000000">
      <w:pPr>
        <w:pStyle w:val="Corpsdetexte"/>
        <w:spacing w:before="1"/>
        <w:ind w:left="2" w:right="157"/>
        <w:jc w:val="both"/>
      </w:pPr>
      <w:r>
        <w:t>En conséquence, compte tenu des ressemblances d'ensemble entre les deux signes ainsi que de la prise en compte de leurs éléments distinctifs et dominants, il existe une similarité entre les signes</w:t>
      </w:r>
    </w:p>
    <w:p w14:paraId="729B4DAF" w14:textId="77777777" w:rsidR="00E07A7F" w:rsidRDefault="00000000">
      <w:pPr>
        <w:pStyle w:val="Corpsdetexte"/>
        <w:spacing w:before="252" w:line="259" w:lineRule="auto"/>
        <w:ind w:left="2" w:right="152"/>
        <w:jc w:val="both"/>
      </w:pPr>
      <w:r>
        <w:t>Le signe verbal contesté MAISON ALIEN est donc similaire à la marque verbale antérieure ALIEN, ce qui n’est pas contesté par les déposants.</w:t>
      </w:r>
    </w:p>
    <w:p w14:paraId="4B002B0F" w14:textId="77777777" w:rsidR="00E07A7F" w:rsidRDefault="00E07A7F">
      <w:pPr>
        <w:pStyle w:val="Corpsdetexte"/>
      </w:pPr>
    </w:p>
    <w:p w14:paraId="6080BB49" w14:textId="77777777" w:rsidR="00E07A7F" w:rsidRDefault="00E07A7F">
      <w:pPr>
        <w:pStyle w:val="Corpsdetexte"/>
      </w:pPr>
    </w:p>
    <w:p w14:paraId="459DBB62" w14:textId="77777777" w:rsidR="00E07A7F" w:rsidRDefault="00E07A7F">
      <w:pPr>
        <w:pStyle w:val="Corpsdetexte"/>
        <w:spacing w:before="18"/>
      </w:pPr>
    </w:p>
    <w:p w14:paraId="4F2A6C9A" w14:textId="77777777" w:rsidR="00E07A7F" w:rsidRDefault="00000000">
      <w:pPr>
        <w:pStyle w:val="Titre1"/>
        <w:spacing w:before="1"/>
      </w:pPr>
      <w:r>
        <w:t>Sur</w:t>
      </w:r>
      <w:r>
        <w:rPr>
          <w:spacing w:val="9"/>
        </w:rPr>
        <w:t xml:space="preserve"> </w:t>
      </w:r>
      <w:r>
        <w:t>l'appréciation</w:t>
      </w:r>
      <w:r>
        <w:rPr>
          <w:spacing w:val="9"/>
        </w:rPr>
        <w:t xml:space="preserve"> </w:t>
      </w:r>
      <w:r>
        <w:t>globale</w:t>
      </w:r>
      <w:r>
        <w:rPr>
          <w:spacing w:val="9"/>
        </w:rPr>
        <w:t xml:space="preserve"> </w:t>
      </w:r>
      <w:r>
        <w:t>du</w:t>
      </w:r>
      <w:r>
        <w:rPr>
          <w:spacing w:val="10"/>
        </w:rPr>
        <w:t xml:space="preserve"> </w:t>
      </w:r>
      <w:r>
        <w:t>risque</w:t>
      </w:r>
      <w:r>
        <w:rPr>
          <w:spacing w:val="7"/>
        </w:rPr>
        <w:t xml:space="preserve"> </w:t>
      </w:r>
      <w:r>
        <w:t>de</w:t>
      </w:r>
      <w:r>
        <w:rPr>
          <w:spacing w:val="7"/>
        </w:rPr>
        <w:t xml:space="preserve"> </w:t>
      </w:r>
      <w:r>
        <w:rPr>
          <w:spacing w:val="-2"/>
        </w:rPr>
        <w:t>confusion</w:t>
      </w:r>
    </w:p>
    <w:p w14:paraId="29952D28" w14:textId="77777777" w:rsidR="00E07A7F" w:rsidRDefault="00E07A7F">
      <w:pPr>
        <w:pStyle w:val="Corpsdetexte"/>
        <w:spacing w:before="117"/>
        <w:rPr>
          <w:rFonts w:ascii="Cambria"/>
          <w:b/>
        </w:rPr>
      </w:pPr>
    </w:p>
    <w:p w14:paraId="5AF22FDF" w14:textId="77777777" w:rsidR="00E07A7F" w:rsidRDefault="00000000">
      <w:pPr>
        <w:pStyle w:val="Corpsdetexte"/>
        <w:spacing w:line="259" w:lineRule="auto"/>
        <w:ind w:left="2" w:right="156"/>
        <w:jc w:val="both"/>
      </w:pPr>
      <w:r>
        <w:t>L'appréciation globale du risque de confusion implique une certaine interdépendance des facteurs pris en compte et notamment la similitude des marques et celle des produits ou des services désignés. Ainsi, un faible</w:t>
      </w:r>
      <w:r>
        <w:rPr>
          <w:spacing w:val="-2"/>
        </w:rPr>
        <w:t xml:space="preserve"> </w:t>
      </w:r>
      <w:r>
        <w:t>degré</w:t>
      </w:r>
      <w:r>
        <w:rPr>
          <w:spacing w:val="-2"/>
        </w:rPr>
        <w:t xml:space="preserve"> </w:t>
      </w:r>
      <w:r>
        <w:t>de</w:t>
      </w:r>
      <w:r>
        <w:rPr>
          <w:spacing w:val="-2"/>
        </w:rPr>
        <w:t xml:space="preserve"> </w:t>
      </w:r>
      <w:r>
        <w:t>similitude</w:t>
      </w:r>
      <w:r>
        <w:rPr>
          <w:spacing w:val="-2"/>
        </w:rPr>
        <w:t xml:space="preserve"> </w:t>
      </w:r>
      <w:r>
        <w:t>entre</w:t>
      </w:r>
      <w:r>
        <w:rPr>
          <w:spacing w:val="-2"/>
        </w:rPr>
        <w:t xml:space="preserve"> </w:t>
      </w:r>
      <w:r>
        <w:t>les</w:t>
      </w:r>
      <w:r>
        <w:rPr>
          <w:spacing w:val="-1"/>
        </w:rPr>
        <w:t xml:space="preserve"> </w:t>
      </w:r>
      <w:r>
        <w:t>produits</w:t>
      </w:r>
      <w:r>
        <w:rPr>
          <w:spacing w:val="-1"/>
        </w:rPr>
        <w:t xml:space="preserve"> </w:t>
      </w:r>
      <w:r>
        <w:t>et</w:t>
      </w:r>
      <w:r>
        <w:rPr>
          <w:spacing w:val="-1"/>
        </w:rPr>
        <w:t xml:space="preserve"> </w:t>
      </w:r>
      <w:r>
        <w:t>les</w:t>
      </w:r>
      <w:r>
        <w:rPr>
          <w:spacing w:val="-1"/>
        </w:rPr>
        <w:t xml:space="preserve"> </w:t>
      </w:r>
      <w:r>
        <w:t>services</w:t>
      </w:r>
      <w:r>
        <w:rPr>
          <w:spacing w:val="-1"/>
        </w:rPr>
        <w:t xml:space="preserve"> </w:t>
      </w:r>
      <w:r>
        <w:t>désignés</w:t>
      </w:r>
      <w:r>
        <w:rPr>
          <w:spacing w:val="-1"/>
        </w:rPr>
        <w:t xml:space="preserve"> </w:t>
      </w:r>
      <w:r>
        <w:t>peut</w:t>
      </w:r>
      <w:r>
        <w:rPr>
          <w:spacing w:val="-1"/>
        </w:rPr>
        <w:t xml:space="preserve"> </w:t>
      </w:r>
      <w:r>
        <w:t>être</w:t>
      </w:r>
      <w:r>
        <w:rPr>
          <w:spacing w:val="-2"/>
        </w:rPr>
        <w:t xml:space="preserve"> </w:t>
      </w:r>
      <w:r>
        <w:t>compensé</w:t>
      </w:r>
      <w:r>
        <w:rPr>
          <w:spacing w:val="-2"/>
        </w:rPr>
        <w:t xml:space="preserve"> </w:t>
      </w:r>
      <w:r>
        <w:t>par</w:t>
      </w:r>
      <w:r>
        <w:rPr>
          <w:spacing w:val="-1"/>
        </w:rPr>
        <w:t xml:space="preserve"> </w:t>
      </w:r>
      <w:r>
        <w:t>un</w:t>
      </w:r>
      <w:r>
        <w:rPr>
          <w:spacing w:val="-2"/>
        </w:rPr>
        <w:t xml:space="preserve"> </w:t>
      </w:r>
      <w:r>
        <w:t>degré</w:t>
      </w:r>
      <w:r>
        <w:rPr>
          <w:spacing w:val="-2"/>
        </w:rPr>
        <w:t xml:space="preserve"> </w:t>
      </w:r>
      <w:r>
        <w:t>élevé de similitude entre les marques, et inversement.</w:t>
      </w:r>
    </w:p>
    <w:p w14:paraId="18235DC6" w14:textId="77777777" w:rsidR="00E07A7F" w:rsidRDefault="00E07A7F">
      <w:pPr>
        <w:pStyle w:val="Corpsdetexte"/>
        <w:spacing w:line="259" w:lineRule="auto"/>
        <w:jc w:val="both"/>
        <w:sectPr w:rsidR="00E07A7F">
          <w:pgSz w:w="11910" w:h="16840"/>
          <w:pgMar w:top="1660" w:right="1133" w:bottom="540" w:left="1275" w:header="0" w:footer="347" w:gutter="0"/>
          <w:cols w:space="720"/>
        </w:sectPr>
      </w:pPr>
    </w:p>
    <w:p w14:paraId="1FD12DA7" w14:textId="77777777" w:rsidR="00E07A7F" w:rsidRDefault="00000000">
      <w:pPr>
        <w:pStyle w:val="Corpsdetexte"/>
        <w:spacing w:before="77" w:line="259" w:lineRule="auto"/>
        <w:ind w:left="2" w:right="150"/>
        <w:jc w:val="both"/>
      </w:pPr>
      <w:r>
        <w:lastRenderedPageBreak/>
        <w:t>En raison de l’identité et de la similarité des produits en cause et de la similarité entre la marque</w:t>
      </w:r>
      <w:r>
        <w:rPr>
          <w:spacing w:val="40"/>
        </w:rPr>
        <w:t xml:space="preserve"> </w:t>
      </w:r>
      <w:r>
        <w:t>antérieure et le signe contesté, il existe globalement un risque de confusion dans l'esprit du public sur l’origine des produits susvisés.</w:t>
      </w:r>
    </w:p>
    <w:p w14:paraId="36D12667" w14:textId="77777777" w:rsidR="00E07A7F" w:rsidRDefault="00E07A7F">
      <w:pPr>
        <w:pStyle w:val="Corpsdetexte"/>
      </w:pPr>
    </w:p>
    <w:p w14:paraId="10BB02E1" w14:textId="77777777" w:rsidR="00E07A7F" w:rsidRDefault="00E07A7F">
      <w:pPr>
        <w:pStyle w:val="Corpsdetexte"/>
      </w:pPr>
    </w:p>
    <w:p w14:paraId="716A33D3" w14:textId="77777777" w:rsidR="00E07A7F" w:rsidRDefault="00E07A7F">
      <w:pPr>
        <w:pStyle w:val="Corpsdetexte"/>
        <w:spacing w:before="77"/>
      </w:pPr>
    </w:p>
    <w:p w14:paraId="12530770" w14:textId="77777777" w:rsidR="00E07A7F" w:rsidRDefault="00000000">
      <w:pPr>
        <w:ind w:left="2"/>
        <w:rPr>
          <w:rFonts w:ascii="Cambria"/>
          <w:b/>
        </w:rPr>
      </w:pPr>
      <w:r>
        <w:rPr>
          <w:rFonts w:ascii="Cambria"/>
          <w:b/>
          <w:spacing w:val="-2"/>
          <w:w w:val="105"/>
        </w:rPr>
        <w:t>CONCLUSION</w:t>
      </w:r>
    </w:p>
    <w:p w14:paraId="165108D1" w14:textId="77777777" w:rsidR="00E07A7F" w:rsidRDefault="00E07A7F">
      <w:pPr>
        <w:pStyle w:val="Corpsdetexte"/>
        <w:rPr>
          <w:rFonts w:ascii="Cambria"/>
          <w:b/>
        </w:rPr>
      </w:pPr>
    </w:p>
    <w:p w14:paraId="3DCBE516" w14:textId="77777777" w:rsidR="00E07A7F" w:rsidRDefault="00E07A7F">
      <w:pPr>
        <w:pStyle w:val="Corpsdetexte"/>
        <w:spacing w:before="132"/>
        <w:rPr>
          <w:rFonts w:ascii="Cambria"/>
          <w:b/>
        </w:rPr>
      </w:pPr>
    </w:p>
    <w:p w14:paraId="52204872" w14:textId="77777777" w:rsidR="00E07A7F" w:rsidRDefault="00000000">
      <w:pPr>
        <w:pStyle w:val="Corpsdetexte"/>
        <w:spacing w:line="259" w:lineRule="auto"/>
        <w:ind w:left="2" w:right="147"/>
        <w:jc w:val="both"/>
      </w:pPr>
      <w:r>
        <w:t>En conséquence, le signe verbal MAISON ALIEN ne peut pas être adopté comme marque pour désigner des produits identiques et similaires sans porter atteinte au droit</w:t>
      </w:r>
      <w:r>
        <w:rPr>
          <w:spacing w:val="-4"/>
        </w:rPr>
        <w:t xml:space="preserve"> </w:t>
      </w:r>
      <w:r>
        <w:t>antérieur de la société opposante.</w:t>
      </w:r>
    </w:p>
    <w:p w14:paraId="3B8813E2" w14:textId="77777777" w:rsidR="00E07A7F" w:rsidRDefault="00E07A7F">
      <w:pPr>
        <w:pStyle w:val="Corpsdetexte"/>
      </w:pPr>
    </w:p>
    <w:p w14:paraId="6E6F901A" w14:textId="77777777" w:rsidR="00E07A7F" w:rsidRDefault="00E07A7F">
      <w:pPr>
        <w:pStyle w:val="Corpsdetexte"/>
        <w:spacing w:before="170"/>
      </w:pPr>
    </w:p>
    <w:p w14:paraId="48F82ED4" w14:textId="77777777" w:rsidR="00E07A7F" w:rsidRDefault="00000000">
      <w:pPr>
        <w:ind w:left="2"/>
        <w:rPr>
          <w:rFonts w:ascii="Cambria"/>
          <w:b/>
        </w:rPr>
      </w:pPr>
      <w:r>
        <w:rPr>
          <w:rFonts w:ascii="Cambria"/>
          <w:b/>
          <w:w w:val="105"/>
        </w:rPr>
        <w:t>PAR</w:t>
      </w:r>
      <w:r>
        <w:rPr>
          <w:rFonts w:ascii="Cambria"/>
          <w:b/>
          <w:spacing w:val="-10"/>
          <w:w w:val="105"/>
        </w:rPr>
        <w:t xml:space="preserve"> </w:t>
      </w:r>
      <w:r>
        <w:rPr>
          <w:rFonts w:ascii="Cambria"/>
          <w:b/>
          <w:w w:val="105"/>
        </w:rPr>
        <w:t>CES</w:t>
      </w:r>
      <w:r>
        <w:rPr>
          <w:rFonts w:ascii="Cambria"/>
          <w:b/>
          <w:spacing w:val="-11"/>
          <w:w w:val="105"/>
        </w:rPr>
        <w:t xml:space="preserve"> </w:t>
      </w:r>
      <w:r>
        <w:rPr>
          <w:rFonts w:ascii="Cambria"/>
          <w:b/>
          <w:spacing w:val="-2"/>
          <w:w w:val="105"/>
        </w:rPr>
        <w:t>MOTIFS</w:t>
      </w:r>
    </w:p>
    <w:p w14:paraId="74295EBE" w14:textId="77777777" w:rsidR="00E07A7F" w:rsidRDefault="00E07A7F">
      <w:pPr>
        <w:pStyle w:val="Corpsdetexte"/>
        <w:rPr>
          <w:rFonts w:ascii="Cambria"/>
          <w:b/>
        </w:rPr>
      </w:pPr>
    </w:p>
    <w:p w14:paraId="72249628" w14:textId="77777777" w:rsidR="00E07A7F" w:rsidRDefault="00E07A7F">
      <w:pPr>
        <w:pStyle w:val="Corpsdetexte"/>
        <w:spacing w:before="204"/>
        <w:rPr>
          <w:rFonts w:ascii="Cambria"/>
          <w:b/>
        </w:rPr>
      </w:pPr>
    </w:p>
    <w:p w14:paraId="00A1758B" w14:textId="77777777" w:rsidR="00E07A7F" w:rsidRDefault="00000000">
      <w:pPr>
        <w:ind w:left="1" w:right="137"/>
        <w:jc w:val="center"/>
        <w:rPr>
          <w:rFonts w:ascii="Cambria" w:hAnsi="Cambria"/>
          <w:b/>
        </w:rPr>
      </w:pPr>
      <w:r>
        <w:rPr>
          <w:rFonts w:ascii="Cambria" w:hAnsi="Cambria"/>
          <w:b/>
          <w:spacing w:val="-2"/>
          <w:w w:val="105"/>
        </w:rPr>
        <w:t>DÉCIDE</w:t>
      </w:r>
    </w:p>
    <w:p w14:paraId="4D271675" w14:textId="77777777" w:rsidR="00E07A7F" w:rsidRDefault="00E07A7F">
      <w:pPr>
        <w:pStyle w:val="Corpsdetexte"/>
        <w:rPr>
          <w:rFonts w:ascii="Cambria"/>
          <w:b/>
        </w:rPr>
      </w:pPr>
    </w:p>
    <w:p w14:paraId="6F9572D9" w14:textId="77777777" w:rsidR="00E07A7F" w:rsidRDefault="00E07A7F">
      <w:pPr>
        <w:pStyle w:val="Corpsdetexte"/>
        <w:spacing w:before="204"/>
        <w:rPr>
          <w:rFonts w:ascii="Cambria"/>
          <w:b/>
        </w:rPr>
      </w:pPr>
    </w:p>
    <w:p w14:paraId="5363ED29" w14:textId="77777777" w:rsidR="00E07A7F" w:rsidRDefault="00000000">
      <w:pPr>
        <w:spacing w:before="1" w:line="271" w:lineRule="auto"/>
        <w:ind w:left="2" w:right="138"/>
        <w:jc w:val="both"/>
      </w:pPr>
      <w:r>
        <w:rPr>
          <w:rFonts w:ascii="Cambria" w:hAnsi="Cambria"/>
          <w:b/>
        </w:rPr>
        <w:t xml:space="preserve">Article un : </w:t>
      </w:r>
      <w:r>
        <w:t xml:space="preserve">L'opposition est reconnue justifiée en ce qu’elle porte sur les produits suivants : « </w:t>
      </w:r>
      <w:r>
        <w:rPr>
          <w:i/>
        </w:rPr>
        <w:t xml:space="preserve">savons; parfums; huiles essentielles; cosmétiques; lotions pour les cheveux; dentifrices; dépilatoires; produits de démaquillage; rouge à lèvres; masques de beauté; produits de rasage; bougies pour l'éclairage </w:t>
      </w:r>
      <w:r>
        <w:t>».</w:t>
      </w:r>
    </w:p>
    <w:p w14:paraId="3B8E2153" w14:textId="77777777" w:rsidR="00E07A7F" w:rsidRDefault="00E07A7F">
      <w:pPr>
        <w:pStyle w:val="Corpsdetexte"/>
        <w:spacing w:before="23"/>
      </w:pPr>
    </w:p>
    <w:p w14:paraId="56A1486A" w14:textId="77777777" w:rsidR="00E07A7F" w:rsidRDefault="00000000">
      <w:pPr>
        <w:pStyle w:val="Corpsdetexte"/>
        <w:spacing w:line="283" w:lineRule="auto"/>
        <w:ind w:left="2" w:right="147"/>
        <w:jc w:val="both"/>
      </w:pPr>
      <w:r>
        <w:rPr>
          <w:rFonts w:ascii="Cambria" w:hAnsi="Cambria"/>
          <w:b/>
        </w:rPr>
        <w:t>Article</w:t>
      </w:r>
      <w:r>
        <w:rPr>
          <w:rFonts w:ascii="Cambria" w:hAnsi="Cambria"/>
          <w:b/>
          <w:spacing w:val="-3"/>
        </w:rPr>
        <w:t xml:space="preserve"> </w:t>
      </w:r>
      <w:r>
        <w:rPr>
          <w:rFonts w:ascii="Cambria" w:hAnsi="Cambria"/>
          <w:b/>
        </w:rPr>
        <w:t>deux</w:t>
      </w:r>
      <w:r>
        <w:rPr>
          <w:rFonts w:ascii="Cambria" w:hAnsi="Cambria"/>
          <w:b/>
          <w:spacing w:val="-3"/>
        </w:rPr>
        <w:t xml:space="preserve"> </w:t>
      </w:r>
      <w:r>
        <w:rPr>
          <w:rFonts w:ascii="Cambria" w:hAnsi="Cambria"/>
          <w:b/>
        </w:rPr>
        <w:t xml:space="preserve">: </w:t>
      </w:r>
      <w:r>
        <w:t xml:space="preserve">La demande d'enregistrement n° ° 23/ 4988290 est partiellement rejetée, pour les produits </w:t>
      </w:r>
      <w:r>
        <w:rPr>
          <w:spacing w:val="-2"/>
        </w:rPr>
        <w:t>précités.</w:t>
      </w:r>
    </w:p>
    <w:sectPr w:rsidR="00E07A7F">
      <w:pgSz w:w="11910" w:h="16840"/>
      <w:pgMar w:top="1380" w:right="1133" w:bottom="540" w:left="1275" w:header="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C177D" w14:textId="77777777" w:rsidR="009658F6" w:rsidRDefault="009658F6">
      <w:r>
        <w:separator/>
      </w:r>
    </w:p>
  </w:endnote>
  <w:endnote w:type="continuationSeparator" w:id="0">
    <w:p w14:paraId="34AB8997" w14:textId="77777777" w:rsidR="009658F6" w:rsidRDefault="0096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252D5" w14:textId="77777777" w:rsidR="00E07A7F" w:rsidRDefault="00000000">
    <w:pPr>
      <w:pStyle w:val="Corpsdetexte"/>
      <w:spacing w:line="14" w:lineRule="auto"/>
      <w:rPr>
        <w:sz w:val="20"/>
      </w:rPr>
    </w:pPr>
    <w:r>
      <w:rPr>
        <w:noProof/>
        <w:sz w:val="20"/>
      </w:rPr>
      <w:drawing>
        <wp:anchor distT="0" distB="0" distL="0" distR="0" simplePos="0" relativeHeight="487504384" behindDoc="1" locked="0" layoutInCell="1" allowOverlap="1" wp14:anchorId="46343991" wp14:editId="5C913AC1">
          <wp:simplePos x="0" y="0"/>
          <wp:positionH relativeFrom="page">
            <wp:posOffset>41616</wp:posOffset>
          </wp:positionH>
          <wp:positionV relativeFrom="page">
            <wp:posOffset>10344542</wp:posOffset>
          </wp:positionV>
          <wp:extent cx="7435510" cy="2316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435510" cy="23163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78436" w14:textId="77777777" w:rsidR="009658F6" w:rsidRDefault="009658F6">
      <w:r>
        <w:separator/>
      </w:r>
    </w:p>
  </w:footnote>
  <w:footnote w:type="continuationSeparator" w:id="0">
    <w:p w14:paraId="1843A2EB" w14:textId="77777777" w:rsidR="009658F6" w:rsidRDefault="00965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7A7F"/>
    <w:rsid w:val="006079EF"/>
    <w:rsid w:val="009658F6"/>
    <w:rsid w:val="00DB12AE"/>
    <w:rsid w:val="00E07A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87A3D0D"/>
  <w15:docId w15:val="{2A50F803-A7D7-8240-ADFA-FE95FC89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711"/>
      <w:outlineLvl w:val="0"/>
    </w:pPr>
    <w:rPr>
      <w:rFonts w:ascii="Cambria" w:eastAsia="Cambria" w:hAnsi="Cambria" w:cs="Cambr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6497</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2</cp:revision>
  <dcterms:created xsi:type="dcterms:W3CDTF">2024-12-26T14:00:00Z</dcterms:created>
  <dcterms:modified xsi:type="dcterms:W3CDTF">2024-12-26T14:00:00Z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LastSaved">
    <vt:filetime>2024-12-26T00:00:00Z</vt:filetime>
  </property>
  <property fmtid="{D5CDD505-2E9C-101B-9397-08002B2CF9AE}" pid="4" name="Producer">
    <vt:lpwstr>PyPDF2</vt:lpwstr>
  </property>
</Properties>
</file>